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"Akcīzes preču elektronisko administratīvo dokumentu aprites un kontroles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"Akcīzes preču elektronisko administratīvo dokumentu aprites un kontroles kārtība" projekts (turpmāk – projekts) izstrādāts ņemot vērā Saeimā 2022. gada 13. oktobrī pieņemto likumu “Grozījumi likumā “Par akcīzes nodokli””, ar kuru tiek pārņemta Padomes 2019. gada 19. decembra direktīva (ES) 2020/262, ar ko nosaka akcīzes nodokļa piemērošanas vispārēju režīmu (turpmāk – direktīva).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likuma "Par akcīzes nodokli" (turpmāk - likums) 25.panta pirmajā – desmitajā daļā un 26. panta pirmajā – astotajā daļā noteikto normu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2022. gada 13. oktobrī pieņēma likumu “Grozījumi likumā “Par akcīzes nodokli””, ar kuru tiek pārņemta direktīva. Direktīva cita starpā paredz ar 2023. gada 13. februāri visā Eiropas Savienībā ieviest jaunu elektronisku akcīzes preču pavaddokumentu patēriņam nodotu akcīzes preču pārvietošanai komerciāliem nolūkiem, kā arī īpašus komersantu veidus, kuriem atļauts veikt minēto preču pārvietošanu. Jaunais akcīzes preču pavaddokuments saucas elektroniskais vienkāršotais administratīvais dokuments un tas ir ieviests, lai aizstātu līdz 2023. gada 12. februārim spēkā esošo papīra vienkāršoto akcīzes preču pavaddokumentu, kas noteikts Komisijas 1992. gada 17. decembra regulā (EEK) Nr. 3649/92 par vienkāršotiem pavaddokumentiem, Kopienas iekšienē pārvadājot akcīzes ražojumus, kas ir nodoti patēriņam nosūtītājā dalībvalstī. Vienkāršotā akcīzes preču pavaddokumenta aprites un kontroles kārtība Latvijas Republikā bija noteikta Ministru kabineta 2010. gada 12. oktobra noteikumos Nr. 957 “Vienkāršoto akcīzes preču pavaddokumentu aprites un kontroles kārtība”, kas bija piemērojami līdz 2023. gada 31. decembrim, lai būtu iespējams pabeigt tādu patēriņam nodotu akcīzes preču pārvietošanu, kas nav pabeigta līdz 2023. gada 12. februārim.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13. februāri patēriņam nodotu akcīzes preču pārvietošanu var uzsākt tikai ar elektronisko vienkāršoto administratīvo dokumentu. Kopš minētā datuma Latvijas Republikā atbilstoši Eiropas Savienībā noteiktajām prasībām ir ieviesta Akcīzes preču pārvietošanas un kontroles sistēmas EMCS (</w:t>
      </w:r>
      <w:r w:rsidR="00000000" w:rsidRPr="00000000" w:rsidDel="00000000">
        <w:rPr>
          <w:i w:val="1"/>
          <w:rtl w:val="0"/>
        </w:rPr>
        <w:t xml:space="preserve">Excise Movement and Control System</w:t>
      </w:r>
      <w:r w:rsidR="00000000" w:rsidRPr="00000000" w:rsidDel="00000000">
        <w:rPr>
          <w:rtl w:val="0"/>
        </w:rPr>
        <w:t xml:space="preserve">) (turpmāk – datorizētā sistēma) jauna fāze, kas nodrošina arī elektroniskā vienkāršotā administratīvā dokumenta u.c. ar to saistīto elektronisko ziņojumu iesniegšanu un apstrādi. Likuma 26. panta septītā daļa nosaka pienākumu personām minētos elektroniskos ziņojumus iesniegt datorizētajā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13. februārī ir stājusies spēkā Komisijas 2022. gada 5. jūlija deleģētā regula (Es) 2022/1636, ar ko papildina Padomes direktīvu (ES) 2020/262, nosakot to dokumentu struktūru un saturu, kuru apmaiņa notiek saistībā ar akcīzes preču pārvietošanu, un nosakot robežvērtību zudumiem preču specifikas dēļ (turpmāk – Komisijas deleģētā regula 2022/1636), kuras pirmajā pielikumā ir noteikta elektronisko ziņojumu struktūra un saturs un tie ir jāiesniedz datorizētajā sistēmā, lai nodrošinātu informācijas apriti starp Eiropas Savienības dalībvalstīm gan par akcīzes preču pārvietošanu, kurām piemēro akcīzes nodokļa atlikto maksāšanu, gan par akcīzes precēm, kuras ir nodotas patēriņam un par kurām akcīzes nodoklis ir samaksāts. Akcīzes preču pārvietošanai, kurām piemēro akcīzes nodokļa atlikto maksāšanu, kopš 2010. gada 1. aprīļa izmanto elektronisko administratīvo dokumentu, kura aprites kārtība Latvijas Republikā bija noteikta Ministru kabineta 2010. gada 30. marta noteikumos Nr. 307 “Akcīzes preču elektroniskā administratīvā dokumenta aprites un kontroles kārtība”. Direktīva paredz, ka ar 2024. gada 13. februāri Eiropas Savienības dalībvalstīm jānodrošina informācijas apmaiņa starp akcīzes preču pārvietošanas un kontroles sistēmu un automatizēto eksporta sistēmu, lai nodrošinātu akcīzes preču, kurām piemēro akcīzes nodokļa atlikto maksāšanu, muitas eksporta procedūru noformēšanu.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akcīzes preču pārvietošanai piemērojot akcīzes nodokļa atlikto maksāšanu un akcīzes preču pārvietošanai, kuras ir nodotas patēriņam, ir izmantojami vienotas formas elektroniski dokumenti, ka elektroniskā vienkāršotā administratīvā dokumenta aprites kārtība šobrīd Latvijas Republikā nav noteikta un ir nepieciešams noteikt kārtību elektronisko ziņojumu apritei akcīzes preču eksporta gadījumos, ir jāizstrādā jauni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likuma deleģējumu noteikt arī citus nosacījumus akcīzes preču pārvietošanai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pārņemt direktīvas 48. panta 2. punktu nosakot, ka saņemot vīnu no citas dalībvalsts noliktavas turētājs, reģistrēts saņēmējs, īslaicīgi reģistrēts saņēmējs, sertificēts saņēmējs un īslaicīgi sertificēts saņēmējs likuma 25. panta desmitajā daļā un 26. panta astotajā daļā minētajā gadījumā, ievada datorizētajā sistēmā informāciju par vietējo identifikācijas numuru, nosūtītāja atsauces numuru un datumu, nosūtītāja nosaukumu un adresi, nosūtītāja kompetentās iestādes nosaukumu, nosūtītāja valsti, transportētāja nosaukumu un adresi, transporta veidu, akcīzes preces veida kodu, Eiropas Savienības Kombinētās nomenklatūras kodu, preču daudzumu litros 20</w:t>
      </w:r>
      <w:r w:rsidR="00000000" w:rsidRPr="00000000" w:rsidDel="00000000">
        <w:rPr>
          <w:vertAlign w:val="superscript"/>
          <w:rtl w:val="0"/>
        </w:rPr>
        <w:t xml:space="preserve">o</w:t>
      </w:r>
      <w:r w:rsidR="00000000" w:rsidRPr="00000000" w:rsidDel="00000000">
        <w:rPr>
          <w:rtl w:val="0"/>
        </w:rPr>
        <w:t xml:space="preserve">C temperatūrā, iepakojuma veidu un skaitu, preču saņemšanas datumu, ja neatbilstības preču daudzumā nav konstatētas, informāciju, ka preces ir saņemtas un neatbilstību nav, ja ir konstatētas neatbilstības preču daudzumā, informāciju, ka preces ir saņemtas un ir neatbilstības, attiecīgi iztrūkums vai pārpalikums un tā daudzums litros 20</w:t>
      </w:r>
      <w:r w:rsidR="00000000" w:rsidRPr="00000000" w:rsidDel="00000000">
        <w:rPr>
          <w:vertAlign w:val="superscript"/>
          <w:rtl w:val="0"/>
        </w:rPr>
        <w:t xml:space="preserve">o</w:t>
      </w:r>
      <w:r w:rsidR="00000000" w:rsidRPr="00000000" w:rsidDel="00000000">
        <w:rPr>
          <w:rtl w:val="0"/>
        </w:rPr>
        <w:t xml:space="preserve">C temperatūrā, par faktiski saņemtajām akcīzes precēm aprēķināto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sistematizētu loģisku struktūru vietējam identifikācijas numuram, kuru akcīzes preču nosūtītājas piešķir elektroniskajam administratīvajam dokumentam un elektroniskajam vienkāršotajam administratīvajam dokumentam, kā arī to alternatīvajam dokumentam;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informācijas vienību norādīšanu no tām, kurām Komisijas deleģētajā regulā 2022/1636 dalībvalstīm ir atļauta rīcības brīvība  noteikt to iesniegšanu, kā obligātu;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Komisijas deleģētajā regulā 2022/1636 noteiktajai informācijai norādīt arī informāciju par nosūtāmajām akcīzes precēm piemērojamo akcīzes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prasības elektroniskajā administratīvajā dokumentā un attiecīgi muitas eksporta deklarācijā vai importa deklarācijā norādāmās informācijas atbilstībai, lai nodrošinātu minēto dokumentu savstarpēju saistību, kas nepieciešama, lai atšķirtu akcīzes preču pārvietošanas gadījumus ar piemērotu akcīzes nodokļa atlikto maksāšanu no pārējās preču plūsmas. Minēto prasību nodrošināšanai nepieciešams noteikt, lai elektroniskajā administratīvajā dokumentā norādītais akcīzes preču Kombinētās Nomenklatūras kods un neto svars būtu vienāds ar attiecīgi eksporta vai importa deklarācijā norādīto, kā arī, lai minētajos dokumentos būtu korektas savstarpējas atsauces no viena dokumenta uz otru.  Šāda prasība bija noteikta Ministru kabineta 2010. gada 30. marta noteikumu Nr. 307 “Akcīzes preču elektroniskā administratīvā dokumenta aprites un kontroles kārtība” 16., 17., 19. un 20. punktā (jāņem vērā, ka noteikumos muitas deklarācija tika saukta par vienoto administratīvo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kārtību, kā likuma 20. panta pirmajā daļā minētā persona, kas neizmanto datorizēto sistēmu, iesniedz Valsts ieņēmumu dienestam informāciju par akcīzes preču saņemšanu no citas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Komisijas deleģētajā regulā 2022/1636 noteiktajai informācijai, saņemot akcīzes preces norādīt arī informāciju par saņemtajām akcīzes precēm aprēķināto akcīzes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Valsts ieņēmumu dienesta, akcīzes preču nosūtītāja un akcīzes preču saņēmēja rīcību, ja akcīzes preču pārvietošana nav pabeigta elektroniskajā administratīvajā dokumentā vai elektroniskajā vienkāršotajā administratīvajā dokumentā norādītajā pārvietošanas ilguma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kārtību informācijas norādīšanai par tiešās piegādes vietu un akcīzes preču saņemšanas apliecinājuma iesniegšanai tiešās piegādes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termiņu, kādā Valsts ieņēmumu dienestam ir jāapstiprina akcīzes preču saņemšanas apliecinājums patēriņam nodotu akcīzes preču saņemšanas gadījumā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Valsts ieņēmumu dienesta rīcību gadījumā, ja no citas dalībvalsts datorizētajā sistēmā ir saņemts Komisijas 2016. gada 24. februāra īstenošanas regulas (ES) 2016/323, ar ko nosaka sīki izstrādātus noteikumus par sadarbību un informācijas apmaiņu starp dalībvalstīm attiecībā uz precēm, uz kurām attiecas akcīzes nodokļa atliktā maksāšana saskaņā ar Padomes Regulu (ES) Nr. 389/2012 (turpmāk – Komisijas īstenošanas regula 2016/323), 13. pantā minētais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kārtību, kādā akcīzes preču kravu pavadošā persona var iesniegt informāciju par atgadījumu akcīzes preču pārvietošanas laikā, Valsts ieņēmumu dienesta rīcību ar iesniegto informāciju un no citas dalībvalsts saņemtu Komisijas īstenošanas regulas (ES) 2016/323 14. pantā minēto atgadījumu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kārtību, kā Valsts ieņēmumu dienests ievada kontroles rezultātus datorizētajā sistēmā un rīcību ar Komisijas īstenošanas regulas (ES) 2016/323 9. panta 2. punktā un 11. pantā minēto kontroles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kārtību, kā Valsts ieņēmumu dienests informē akcīzes preču nosūtītāju un saņēmēju, ja datorizētajā sistēmā no citas dalībvalsts ir saņemts Komisijas īstenošanas regulas (ES) 2016/323 12. pantā minētais pārvietošanas pārtraukšanas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akcīzes preču nosūtītāja, saņēmēja un Valsts ieņēmumu dienesta rīcību gadījumā, ja saņemot akcīzes preces ir konstatētas neatbilstības.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nosacījumi neattiecas uz fizisko personu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35. – 42. pantā ir noteikta elektroniskā vienkāršotā administratīvā dokumenta aprites kārtība, t.sk. akcīzes preču pārvietošanas un kontroles sistēmas nepieejamības gadījumos. Likuma 26. panta septītajā daļā ir noteikts deleģējums Ministru kabinetam izstrādāt datorizētās sistēmas izmantošanas nosacījumus, elektroniskā vienkāršotā administratīvā dokumenta aprites un kontroles kārtību, arī datorizētās sistēmas nepieejamības gadījumā, kā arī citus nosacījumus likuma 26. pantā minētajai akcīzes preču pārvietošanai.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pārejas noteikumu 145. punkts paredz, ka Ministru kabinets līdz 2023. gada 31. decembrim izdod šā likuma 25. panta devītajā daļā un 26. panta septītajā daļā minētos noteikumus. Līdz minēto noteikumu spēkā stāšanās dienai, bet ne ilgāk kā līdz 2023. gada 31. decembrim ir piemērojami Ministru kabineta 2010. gada 30. marta noteikumi Nr. 307 "Akcīzes preču elektroniskā administratīvā dokumenta aprites un kontroles kārtība", ciktāl tie nav pretrunā ar šo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Jāizstrādā kārtība elektroniskā vienkāršotā administratīvā dokumenta apritei un kontrolei Latvijas Republikā, lai pārņemtu direktīvas 35. – 42. pantā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21. un 25. pantā ir noteiktas prasības informācijas apmaiņai starp dalībvalstīm akcīzes preču eksporta gadījumā, kuras jānodrošina atbilstoši pielāgojot datorizētās sistēmas un automatizētās eksporta sistēmas savstarpēju darbību. Minētās prasības jāievieš līdz 2024. gada 13. februārim. Ņemot vērā to, ka Latvijas Republikā datorizētā sistēma jau šobrīd nodrošina minētās informācijas apmaiņu pagaidām nav noteikta kārtība, kā veikt informācijas apmaiņu ar citām dalībvalstīm datorizētajā sistēmā akcīzes preču eksporta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Jāizstrādā kārtība, kā veikt informācijas apmaiņu ar citām dalībvalstīm datorizētajā sistēmā akcīzes preču eksporta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32. panta trešās daļas 2. punktu nodrošinājumu iesniedz par akcīzes precēm, kuras pārvieto saskaņā ar šā likuma 25., 26. vai 26.</w:t>
      </w:r>
      <w:r w:rsidR="00000000" w:rsidRPr="00000000" w:rsidDel="00000000">
        <w:rPr>
          <w:vertAlign w:val="superscript"/>
          <w:rtl w:val="0"/>
        </w:rPr>
        <w:t xml:space="preserve">1</w:t>
      </w:r>
      <w:r w:rsidR="00000000" w:rsidRPr="00000000" w:rsidDel="00000000">
        <w:rPr>
          <w:rtl w:val="0"/>
        </w:rPr>
        <w:t xml:space="preserve"> pantu, izņemot gadījumu, kad nodoklis samaksāts pirms akcīzes preču nosūtīšanas no citas dalībvalsts saskaņā ar šā likuma 23. panta septīto daļu vai, kad par akcīzes precēm, kas marķētas ar akcīzes nodokļa markām, ir iesniegts nodrošinājums, saņemot akcīzes nodokļa markas saskaņā ar šā likuma 27. panta sesto daļu. Elektroniskajā administratīvajā dokumentā un elektroniskajā vienkāršotajā administratīvajā dokumentā norādāmās informācijas saturs, kas noteikts Komisijas deleģētās regulas 2022/1636 1. pielikuma 1. tabulā, nav pietiekams, lai varētu aprēķināt akcīzes nodokli visiem akcīzes preču veidiem. Ir jānodrošina, ka pārvietojot akcīzes preces akcīzes nodokļa atliktās maksāšanas režīmā no Latvijas Republikas uz citu Eiropas Savienības dalībvalsti, tiktu izpildīta Direktīvas 17. panta 1. punkta prasība, ka nosūtītājas dalībvalsts kompetentās iestādes saskaņā ar to paredzētiem nosacījumiem pieprasa, lai risks, kas saistīts ar preču pārvietošanu atliktās nodokļa maksāšanas režīmā, būtu segts ar nodrošinājumu, ko sniedz apstiprināts noliktavas turētājs kā nosūtītājs vai reģistrēts nosūtītājs. Lai nodrošinātu likumā un direktīvā noteikto, ir nepieciešams kontrolēt akcīzes nodokļa izlietojumu par pārvietošanā esošām akcīzes precēm, nepieļaujot iesniegtā nodrošinājuma pārsniegumu.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Jānosaka prasības, ar kurām tiktu nodrošināta automātiska akcīzes nodokļa aprēķināšana katram akcīzes preču sūtījumam. Tā kā atsevišķām precēm ir iespējams piemērot vairākas nodokļa likmes, ir nepieciešams noteikt, lai akcīzes preču nosūtītājs papildus Komisijas deleģētās regulas 2022/1636 1. pielikuma 1. tabulā noteiktajai informācijai norāda arī nosūtāmajām akcīzes precēm piemērojamo akcīzes nodokļa likmi. Šāda prasība bija noteikta Ministru kabineta 30.03.2010. noteikumu Nr. 307 “Akcīzes preču elektroniskā administratīvā dokumenta aprites un kontroles kārtība” 10. punktā. Minētā prasība neuzliek papildus administratīvo slogu iesniedzējam, jo datorizētajā sistēmā kopš 2010. gada darbojas akcīzes nodokļa likmju klasifikators, kurš piedāvā sistēmas lietotājam izvēlni ar tām nodokļa likmēm, kas atbilst norādītajam preces veidam. Lielākajam vairumam preču veidu ir iespējams piemērot vienu likmi, tikai atsevišķām precēm ir iespējams izvēlēties divas vai trīs likmes. Likmju klasifikatoru uztur Valsts ieņēmumu dienests un pārvietojamajām akcīzes precēm piemērojamo akcīzes nodokli datorizētā sistēma aprēķina automātiski.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fiziska persona, izņemot bērns.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fiziska persona, kas nav bērns.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Galvenokārt tādas personas, kurām Valsts ieņēmumu dienests ir izsniedzis speciālu atļauju, jeb licenci darbībām ar akcīzes precēm. Atsevišķos gadījumos personas, kuras saņem akcīzes preces savam patēriņam vai pamatojoties uz Valsts ieņēmumu dienesta izsniegtu izziņu par tiesībām izmantot akcīzes preces citādām vajadzībām, kas netiek apliktas ar akcīzes nodokli, kā arī personas, kurām saskaņā ar likumu ir noteikts atbrīvojums, piem., ārvalstu vēstniecības, NATO bruņoto spēku vienības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Galvenokārt tādas juridiskās personas, kurām ir izsniegtas speciālas atļaujas, jeb licences darbībām ar akcīzes precēm un atsevišķos gadījumos juridiskās personas, kuras saņem akcīzes preces savam patēriņam vai pamatojoties uz Valsts ieņēmumu dienesta izsniegtu izziņu akcīzes preču izmantošanai tādā veidā, kas netiek aplikts ar akcīzes nodokli, kā arī personas, kurām saskaņā ar likumu ir noteikts atbrīvojums no akcīzes nodokļa, piem., ārvalstu vēstniecības, NATO bruņoto spēku vienības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komersantus, kas nodarbojas ar tādu akcīzes preču, kuras ir nodotas patēriņam kādā no Eiropas Savienības dalībvalstīm un, par kurām ir samaksāts akcīzes nodoklis, pārvietošanu no citas Eiropas Savienības dalībvalsts uz Latvijas Republiku vai no Latvijas Republikas uz citu Eiropas Savienības dalībvalsti. Lai saņemtu vai nosūtītu minētas preces, komersantam ir nepieciešams reģistrēties Eiropas Savienības Akcīzes datu apmaiņas sistēmā SEED (</w:t>
      </w:r>
      <w:r w:rsidR="00000000" w:rsidRPr="00000000" w:rsidDel="00000000">
        <w:rPr>
          <w:i w:val="1"/>
          <w:rtl w:val="0"/>
        </w:rPr>
        <w:t xml:space="preserve">System of Exchange of Excise Data</w:t>
      </w:r>
      <w:r w:rsidR="00000000" w:rsidRPr="00000000" w:rsidDel="00000000">
        <w:rPr>
          <w:rtl w:val="0"/>
        </w:rPr>
        <w:t xml:space="preserve">), attiecīgi, kā sertificētam vai īslaicīgi sertificētam saņēmējam vai sertificētam vai īslaicīgi sertificētam nosūtītājam. Minētās tiesības piešķir Valsts ieņēmumu dienests un tās var pieprasīt jebkurš komersants. Saņemt alkoholiskos dzērienus savam patēriņam no citas dalībvalsts sertificēta nosūtītāja vai īslaicīgi sertificēta nosūtītāja var arī privātpersona. Sertificēts nosūtītājs vai īslaicīgi sertificēts nosūtītājs pirms patēriņam nodotu akcīzes preču nosūtīšanas no savas dalībvalsts iesniedz datorizētajā sistēmā elektroniskā vienkāršotā administratīvā dokumenta projektu, savukārt sertificēts nosūtītājs vai īslaicīgi sertificēts nosūtītājs pēc akcīzes preču saņemšanas iesniedz datorizētajā sistēmā saņemšanas apliecinājuma projektu. Līdz 2023. gada 12. februārim patēriņam nodotu akcīzes preču pārvietošanai bija jāizmanto vienkāršotais akcīzes preču pavaddokuments, kas noteikts Komisijas 1992. gada 17. decembra regulā (EEK) Nr. 3649/92 par vienkāršotiem pavaddokumentiem, Kopienas iekšienē pārvadājot akcīzes ražojumus, kas ir nodoti patēriņam nosūtītājā dalībvalstī. Minētais dokuments nebija elektronisks un tas bija jānoformē trijos eksemplāros. Attiecīgs vienkāršotā akcīzes preču pavaddokumenta eksemplārs bija jāiesniedz gan akcīzes preču nosūtītājam, gan akcīzes preču saņēmējam savas valsts nodokļu administrācijai. Latvijas Republikā attiecīgo minētā dokumenta eksemplāru, kā elektronisku kopiju pielikuma veidā varēja iesniegt Valsts ieņēmumu dienestam izmantojot elektroniskās deklarēšanas sistēmu. Līdz 2023. gada 12. februārim, lai nosūtītu vai saņemtu patēriņam nodotas akcīzes preces, Eiropas Savienības Akcīzes datu apmaiņas sistēmā SEED (</w:t>
      </w:r>
      <w:r w:rsidR="00000000" w:rsidRPr="00000000" w:rsidDel="00000000">
        <w:rPr>
          <w:i w:val="1"/>
          <w:rtl w:val="0"/>
        </w:rPr>
        <w:t xml:space="preserve">System of Exchange of Excise Data</w:t>
      </w:r>
      <w:r w:rsidR="00000000" w:rsidRPr="00000000" w:rsidDel="00000000">
        <w:rPr>
          <w:rtl w:val="0"/>
        </w:rPr>
        <w:t xml:space="preserve">) nebija jāreģistrējas. Nosūtīt no Latvijas Republikas patēriņam nodotas akcīzes preces varēja komersants, kuram bija speciālā atļauja (licence) darbībām ar akcīzes precēm, izņemot reģistrētu nosūtītāju. Savukārt saņemt citā dalībvalstī patēriņam nodotas akcīzes preces varēja, ja pirms šādu preču nosūtīšanas Latvijas Republikā bija iesniegts akcīzes nodokļa vienreizējais nodrošinājums vai samaksāts akcīzes nodoklis. Šobrīd akcīzes preču saņēmējam, lai iegūtu sertificēta saņēmēja vai īslaicīgi sertificēta saņēmēja tiesības, ir jāiesniedz attiecīgi akcīzes nodokļa vispārējais nodrošinājums vai vienreizējais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elektroniskā vienkāršotā administratīvā dokumenta izmantošanu no 2023. gada 13. februāra, kā obligātu prasību, nosaka direktīva, Latvijas Republikai ir jānodrošina tā ieviešana vienlaicīgi ar citām Eiropas Savienības dalībvalstīm. Izmaiņas neatstās ievērojamu ietekmi uz Latvijas Republikas tautsaimniecību, jo Latvijā ir salīdzinoši neliels personu skaits, kas saņem vai nosūta minētās akcīzes preces. 2022. gadā patēriņam nodotas akcīzes preces no citas dalībvalsts saņēma 42 komersanti un  viena privātpersona pavisam iesniedzot 146 vienkāršotos akcīzes preču pavaddokumentus.  Izvērtējot Eiropas Savienības un Latvijas Republikas akcīzes preču apriti regulējošo tiesību aktu prasības par patēriņam nodotu akcīzes preču pārvietošanu attiecībā uz personām, nav vērojamas būtiskas administratīvā sloga izmaiņas pēc 2023. gada 12. februāra.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21. panta un 25. panta pārņemšana, kas saistīta ar ziņojumu apmaiņu par akcīzes preču, kurām piemērota akcīzes nodokļa atliktā maksāšana, eksportu, Latvijas Republikas sabiedrības grupas neietekmēs, jo Latvijas Republikā datorizētā sistēma ir saistīta ar Eksporta kontroles sistēmu kopš 2010. gada, bet no 2024. gada 13. februāra informācijas apmaiņa starp datorizēto sistēmu un Automatizēto eksporta kontroles sistēmu ir obligāta visā Eiropas Savienībā. Minētie ziņojumi komersantiem nav jāiesniedz, bet tos veido datorizētā sistēma automātiski, lai sniegtu informāciju komersantiem vai citas dalībvalsts nodokļu administrācijai par eksporta procedūras gaitu.Minēto elektronisko ziņojumu aprites kārtība detalizēti ir aprakstīta Eiropas Komisijas izstrādātajās datorizētās sistēmas specifikācijās FESS (</w:t>
      </w:r>
      <w:r w:rsidR="00000000" w:rsidRPr="00000000" w:rsidDel="00000000">
        <w:rPr>
          <w:i w:val="1"/>
          <w:rtl w:val="0"/>
        </w:rPr>
        <w:t xml:space="preserve">Functional Excise System Specification</w:t>
      </w:r>
      <w:r w:rsidR="00000000" w:rsidRPr="00000000" w:rsidDel="00000000">
        <w:rPr>
          <w:rtl w:val="0"/>
        </w:rPr>
        <w:t xml:space="preserve">) un DDNEA (</w:t>
      </w:r>
      <w:r w:rsidR="00000000" w:rsidRPr="00000000" w:rsidDel="00000000">
        <w:rPr>
          <w:i w:val="1"/>
          <w:rtl w:val="0"/>
        </w:rPr>
        <w:t xml:space="preserve">Design Document for National Excise Appication</w:t>
      </w:r>
      <w:r w:rsidR="00000000" w:rsidRPr="00000000" w:rsidDel="00000000">
        <w:rPr>
          <w:rtl w:val="0"/>
        </w:rPr>
        <w:t xml:space="preserve">), kas ir saistošas dalībvalstīm datorizētās sistēmas prasību ieviešanā. Līdz ar to projekta 15. - 24. punktā ir noteikta detalizētāka elektronisko ziņojumu aprites kārtība, nekā direktīvas 21. un 25.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26. panta 5. punkta otrajā daļā ir noteikts, ka deklarētājs eksporta dalībvalsts kompetentajām iestādēm iesniedz minētā atkāpšanās dokumenta, kura saturs atbilst eksporta deklarācijā deklarētajām akcīzes precēm, kopiju vai atkāpšanās dokumenta unikālo identifikatoru. Minētā norma attiecas uz gadījumu, kad datorizētā sistēma nav pieejama un, lai komercdarbība netiktu kavēta muitas procedūru piemērošanas gadījumos, akcīzes preču nosūtītājs var uzsākt akcīzes preču nosūtīšanu, ja tas iesniedz kompetentajai iestādei elektroniskā administratīvā dokumenta alternatīvo dokumentu. Lai nodrošinātu, ka VID muitas iestādes rīcībā ir nepieciešamā informācija muitas deklarācijas datu salīdzināšanai ar elektroniskajā administratīvajā dokumentā norādāmo informāciju, ir nepieciešams noteikt, ka deklarētājs iesniedz VID muitas iestādei elektroniskā administratīvā dokumenta kopiju, jo minētā dokumenta unikālais identifikators nesatur informāciju par pārvietojamajām akcīzes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izstrādājusi kārtību un strukturēta ziņojuma veidu datorizētās sistēmas specifikācijās FESS (</w:t>
      </w:r>
      <w:r w:rsidR="00000000" w:rsidRPr="00000000" w:rsidDel="00000000">
        <w:rPr>
          <w:i w:val="1"/>
          <w:rtl w:val="0"/>
        </w:rPr>
        <w:t xml:space="preserve">Functional Excise System Specification</w:t>
      </w:r>
      <w:r w:rsidR="00000000" w:rsidRPr="00000000" w:rsidDel="00000000">
        <w:rPr>
          <w:rtl w:val="0"/>
        </w:rPr>
        <w:t xml:space="preserve">) un DDNEA (</w:t>
      </w:r>
      <w:r w:rsidR="00000000" w:rsidRPr="00000000" w:rsidDel="00000000">
        <w:rPr>
          <w:i w:val="1"/>
          <w:rtl w:val="0"/>
        </w:rPr>
        <w:t xml:space="preserve">Design Document for National Excise Appication</w:t>
      </w:r>
      <w:r w:rsidR="00000000" w:rsidRPr="00000000" w:rsidDel="00000000">
        <w:rPr>
          <w:rtl w:val="0"/>
        </w:rPr>
        <w:t xml:space="preserve">), lai akcīzes preču nosūtītājs un saņēmējs varētu informēt kompetento iestādi par akcīzes preču piegādes kavēšanas iemeslu vai saņemšanas apliecinājuma iesniegšanas kavēšanas iemeslu, ja pēc elektroniskajā administratīvajā dokumentā vai elektroniskajā vienkāršotajā administratīvajā dokumentā norādītā pārvadājuma ilguma beigām akcīzes preču pārvietošana nav pabeigta. Saskaņā ar minētajās specifikācijās noteikto kārtību Valsts ieņēmumu dienestam jānodrošina Latvijas komersantu iesniegtā ziņojuma apstiprināšana un nosūtīšana citai dalībvalstij, kā arī no citas dalībvalsts saņemta ziņojuma pārsūtīšana attiecīgajam Latvijas komersantam, izmantojot datorizēto sistēmu. Minētā ziņojuma aprites kārtība nav noteikta direktīvā, kā arī tā saturs un struktūra nav noteikta nevienā Eiropas Komisijas regulā. Minētā ziņojuma aprites kārtība ir noteikta noteikumu projekta 32. punktā. Lai akcīzes preču nosūtītājs un saņēmējs varētu iesniegt attiecīgi ziņojumu par akcīzes preču piegādes kavēšanas iemeslu un ziņojumu par saņemšanas apliecinājuma iesniegšanas termiņa kavēšanas iemeslu, nosūtītāja dalībvalsts kompetentajai iestādei jānosūta savam akcīzes preču nosūtītājam un akcīzes preču saņēmēja dalībvalstij atgādinājuma ziņojums par pārvietošanas termiņa beigām. Ja akcīzes preču saņēmēja dalībvalsts saņem no akcīzes preču nosūtītāja dalībvalsts minēto atgādinājuma ziņojumu, tā pārsūta to akcīzes preču nosūtītājam. Minētā ziņojuma aprites kārtība nav noteikta direktīvā, kā arī tā saturs un struktūra nav noteikta nevienā Eiropas Komisijas regulā. Minētā ziņojuma aprites kārtība ir noteikta noteikumu projekta 31.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 veida uzņēmējiem vienādi nosacījumi.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32020L0262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2019. gada 19. decembra direktīva (ES) 2020/262, ar ko nosaka akcīzes nodokļa piemērošanas vispārēju režīmu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nosaka akcīzes nodokļa piemērošanas vispārēju režīmu, t.sk. akcīzes preču pārvietošanai starp dalībvalstīm, paredzot pienākumu izmantot īpašu datorizētu sistēmu un elektroniskus akcīzes preču pavaddokumentus, lai nodrošinātu bez papīra informācijas aprites kārtību starp komersantiem, kas veic akcīzes preču pārvietošanu, un dalībvalstu nodokļu administrācijām. Eiropas Komisija ir izstrādājusi datorizētās sistēmas specifikācijas, lai nodrošinātu direktīvas 2020/262 prasību ieviešanu par akcīzes preču pārvietošanu, piemērojot atlikto akcīzes nodokļa maksāšanas režīmu, un patēriņam nodotu akcīzes preču pārvietošanu komerciālām vajadzībām (direktīvas IV. un V. nodaļa). Latvija ir ieviesusi datorizēto sistēmu atbilstoši Eiropas Komisijas specifikācijās izstrādātajām prasībām un virsplānā noteiktajam laika grafikam, tādā veidā nodrošinot direktīvas pārņemšanu. Papildus tam tiek virzīts projekts, ar ko minētās direktīvas pārņemšana attiecībā uz datorizēto sistēmu tiek nostiprināta Latvijas tiesību aktu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32022R1636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5. jūlija deleģētā regula (EK) 2022/1636, ar ko papildina Padomes direktīvu (ES) 2020/262, nosakot to dokumentu struktūru un saturu, kuru apmaiņa notiek saistībā ar akcīzes preču pārvietošanu, un nosakot robežvērtību zudumiem preču specifikas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nosaka gadījumus, kad komersantiem un nodokļu administrācijai jāiesniedz datorizētajā sistēmā noteikta veida elektroniskie ziņojumi, kā arī robežvērtību akcīzes preču zudumiem to pārvietošanas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32016R0323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2016. gada 24. februāra īstenošanas regula (ES) 2016/323, ar ko nosaka sīki izstrādātus noteikumus par sadarbību un informācijas apmaiņu starp dalībvalstīm attiecībā uz akcīzes precēm saskaņā ar Padomes regulu (ES) Nr. 389/2012.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paredz īpašas sadarbības formas starp dalībvalstīm akcīzes preču aprites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32022R1637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5. jūlija īstenošanas regula (ES) 2022/1637, ar ko paredz noteikumus Padomes direktīvas (ES) 2020/262 piemērošanai attiecībā uz dokumentu izmantošanu saistībā ar akcīzes preču pārvietošanu atliktās nodokļa maksāšanas režīmā un akcīzes preču pārvietošanu pēc nodošanas patēriņam, kā arī nosaka atbrīvojuma sertifikāta veidlapu.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5. jūlija īstenošanas regula (ES) 2022/1637, ar ko paredz noteikumus Padomes direktīvas (ES) 2020/262 piemērošanai attiecībā uz dokumentu izmantošanu saistībā ar akcīzes preču pārvietošanu atliktās nodokļa maksāšanas režīmā un akcīzes preču pārvietošanu pēc nodošanas patēriņam, kā arī nosaka atbrīvojuma sertifikāta veidlapu, nosaka atbrīvojuma sertifikāta formu un saturu, ko izmanto, lai piegādātu akcīzes preces no nodokļa atbrīvotajām personām un Komisijas deleģētajā regulā 2022/1636 noteikto ziņojumu, ko iesniedz datorizētajā sistēmā, aprites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32013R0952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9. oktobra regula (ES) Nr. 952/2013, ar ko izveido Savienības Muitas kodeksu.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9. oktobra regula (ES) Nr. 952/2013, ar ko izveido Savienības Muitas kodeksu, attiecas uz muitas jomu, t.sk. uz informācijas sistēmu izmantošanu preču deklarēšanai, ar kuru ir jānodrošina informācijas apmaiņa akcīzes preču pārvietošanas datorizētajai sistēmai akcīzes preču eksporta gadījumā.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2019. gada 19. decembra direktīva (ES) 2020/262, ar ko nosaka akcīzes nodokļa piemērošanas vispārēju režīmu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3., 4., 5., 6.</w:t>
            </w:r>
            <w:r w:rsidR="00000000" w:rsidRPr="00000000" w:rsidDel="00000000">
              <w:rPr>
                <w:sz w:val="24"/>
                <w:vertAlign w:val="superscript"/>
                <w:rtl w:val="0"/>
              </w:rPr>
              <w:t xml:space="preserve">1</w:t>
            </w:r>
            <w:r w:rsidR="00000000" w:rsidRPr="00000000" w:rsidDel="00000000">
              <w:rPr>
                <w:sz w:val="24"/>
                <w:rtl w:val="0"/>
              </w:rPr>
              <w:t xml:space="preserve">, 12., 13., 14. un 15.</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2, 4, 5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 21., 23. un 25.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7., 23., 25.un 26.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 22., 23., 25. un 26.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33. un 34.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26. pants, 26.</w:t>
            </w:r>
            <w:r w:rsidR="00000000" w:rsidRPr="00000000" w:rsidDel="00000000">
              <w:rPr>
                <w:sz w:val="24"/>
                <w:vertAlign w:val="superscript"/>
                <w:rtl w:val="0"/>
              </w:rPr>
              <w:t xml:space="preserve">1</w:t>
            </w:r>
            <w:r w:rsidR="00000000" w:rsidRPr="00000000" w:rsidDel="00000000">
              <w:rPr>
                <w:sz w:val="24"/>
                <w:rtl w:val="0"/>
              </w:rPr>
              <w:t xml:space="preserve"> pants, 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21. panta sestā daļa un Muita likuma 24.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 panta sestā un septītā daļa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25. panta pirmā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un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16(4)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33. un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16(4)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8. panta piektā daļa, 9.</w:t>
            </w:r>
            <w:r w:rsidR="00000000" w:rsidRPr="00000000" w:rsidDel="00000000">
              <w:rPr>
                <w:sz w:val="24"/>
                <w:vertAlign w:val="superscript"/>
                <w:rtl w:val="0"/>
              </w:rPr>
              <w:t xml:space="preserve">1</w:t>
            </w:r>
            <w:r w:rsidR="00000000" w:rsidRPr="00000000" w:rsidDel="00000000">
              <w:rPr>
                <w:sz w:val="24"/>
                <w:rtl w:val="0"/>
              </w:rPr>
              <w:t xml:space="preserve"> panta ceturtā daļa, 31. un 32. pants un Ministru kabineta 2019. gada 12. februāra noteikumi Nr. 72 "Noteikumi par akcīzes nodokļa nodrošinājumiem" (turpmāk – MK noteikumi Nr.72)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Latvijā nav nostiprinātu cauruļvadu energoproduktu pārvietošanai uz citām dalībvalstīm. Lai nodrošinātu direktīvas pārņemšanu, tiks attiecīgi grozīts likuma “Par akcīzes nodokli” 32.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Izvēles norma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32. panta trešās daļas 2. punkts un 4.</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17(5)(a)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72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17(5)(b)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Izvēles norma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32. panta sestā daļa un MK noteikumi Nr. 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25. panta otrā, piektā un devītā daļa un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25. panta otrā, piektā un devītā daļa un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 trešā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25., 26. un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15. un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17. un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14., 21. un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Izvēles norma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25. panta otrā, piektā un astotā daļa un projekta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24(3)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24(3)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24(3) trešā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23. un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26(1)(a)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26(1)(b)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26(1)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 neapstiprina alternatīvo pavaddokumentu papīra kopijas.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27(1)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27(1)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48., 50. un 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27(2)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27(2)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27(2) trešā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23. un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28(4)(a)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28(4)(b)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29(1) un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un 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Izvēles norma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21.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33(1)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23. panta 6.</w:t>
            </w:r>
            <w:r w:rsidR="00000000" w:rsidRPr="00000000" w:rsidDel="00000000">
              <w:rPr>
                <w:sz w:val="24"/>
                <w:vertAlign w:val="superscript"/>
                <w:rtl w:val="0"/>
              </w:rPr>
              <w:t xml:space="preserve">1</w:t>
            </w:r>
            <w:r w:rsidR="00000000" w:rsidRPr="00000000" w:rsidDel="00000000">
              <w:rPr>
                <w:sz w:val="24"/>
                <w:rtl w:val="0"/>
              </w:rPr>
              <w:t xml:space="preserve"> un 6.</w:t>
            </w:r>
            <w:r w:rsidR="00000000" w:rsidRPr="00000000" w:rsidDel="00000000">
              <w:rPr>
                <w:sz w:val="24"/>
                <w:vertAlign w:val="superscript"/>
                <w:rtl w:val="0"/>
              </w:rPr>
              <w:t xml:space="preserve">2</w:t>
            </w:r>
            <w:r w:rsidR="00000000" w:rsidRPr="00000000" w:rsidDel="00000000">
              <w:rPr>
                <w:sz w:val="24"/>
                <w:rtl w:val="0"/>
              </w:rPr>
              <w:t xml:space="preserve"> daļa un 26.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33(1)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26. panta trešās daļas pirmais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21. panta ceturtā daļa un 26.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9.</w:t>
            </w:r>
            <w:r w:rsidR="00000000" w:rsidRPr="00000000" w:rsidDel="00000000">
              <w:rPr>
                <w:sz w:val="24"/>
                <w:vertAlign w:val="superscript"/>
                <w:rtl w:val="0"/>
              </w:rPr>
              <w:t xml:space="preserve">2</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9.</w:t>
            </w:r>
            <w:r w:rsidR="00000000" w:rsidRPr="00000000" w:rsidDel="00000000">
              <w:rPr>
                <w:sz w:val="24"/>
                <w:vertAlign w:val="superscript"/>
                <w:rtl w:val="0"/>
              </w:rPr>
              <w:t xml:space="preserve">3</w:t>
            </w:r>
            <w:r w:rsidR="00000000" w:rsidRPr="00000000" w:rsidDel="00000000">
              <w:rPr>
                <w:sz w:val="24"/>
                <w:rtl w:val="0"/>
              </w:rPr>
              <w:t xml:space="preserve">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26.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34.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21.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26.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35(2)(a)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9.</w:t>
            </w:r>
            <w:r w:rsidR="00000000" w:rsidRPr="00000000" w:rsidDel="00000000">
              <w:rPr>
                <w:sz w:val="24"/>
                <w:vertAlign w:val="superscript"/>
                <w:rtl w:val="0"/>
              </w:rPr>
              <w:t xml:space="preserve">3</w:t>
            </w:r>
            <w:r w:rsidR="00000000" w:rsidRPr="00000000" w:rsidDel="00000000">
              <w:rPr>
                <w:sz w:val="24"/>
                <w:rtl w:val="0"/>
              </w:rPr>
              <w:t xml:space="preserve">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35(2)(b)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23.panta 6.</w:t>
            </w:r>
            <w:r w:rsidR="00000000" w:rsidRPr="00000000" w:rsidDel="00000000">
              <w:rPr>
                <w:sz w:val="24"/>
                <w:vertAlign w:val="superscript"/>
                <w:rtl w:val="0"/>
              </w:rPr>
              <w:t xml:space="preserve">1</w:t>
            </w:r>
            <w:r w:rsidR="00000000" w:rsidRPr="00000000" w:rsidDel="00000000">
              <w:rPr>
                <w:sz w:val="24"/>
                <w:rtl w:val="0"/>
              </w:rPr>
              <w:t xml:space="preserve"> un 6.</w:t>
            </w:r>
            <w:r w:rsidR="00000000" w:rsidRPr="00000000" w:rsidDel="00000000">
              <w:rPr>
                <w:sz w:val="24"/>
                <w:vertAlign w:val="superscript"/>
                <w:rtl w:val="0"/>
              </w:rPr>
              <w:t xml:space="preserve">2</w:t>
            </w:r>
            <w:r w:rsidR="00000000" w:rsidRPr="00000000" w:rsidDel="00000000">
              <w:rPr>
                <w:sz w:val="24"/>
                <w:rtl w:val="0"/>
              </w:rPr>
              <w:t xml:space="preserve"> daļa un 26.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35(2)(c)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nodokļiem un nodevām” 1. panta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Izvēles norma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32. panta trešās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noteikumi Nr.72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9.</w:t>
            </w:r>
            <w:r w:rsidR="00000000" w:rsidRPr="00000000" w:rsidDel="00000000">
              <w:rPr>
                <w:sz w:val="24"/>
                <w:vertAlign w:val="superscript"/>
                <w:rtl w:val="0"/>
              </w:rPr>
              <w:t xml:space="preserve">2</w:t>
            </w:r>
            <w:r w:rsidR="00000000" w:rsidRPr="00000000" w:rsidDel="00000000">
              <w:rPr>
                <w:sz w:val="24"/>
                <w:rtl w:val="0"/>
              </w:rPr>
              <w:t xml:space="preserve"> panta otrās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9.</w:t>
            </w:r>
            <w:r w:rsidR="00000000" w:rsidRPr="00000000" w:rsidDel="00000000">
              <w:rPr>
                <w:sz w:val="24"/>
                <w:vertAlign w:val="superscript"/>
                <w:rtl w:val="0"/>
              </w:rPr>
              <w:t xml:space="preserve">3</w:t>
            </w:r>
            <w:r w:rsidR="00000000" w:rsidRPr="00000000" w:rsidDel="00000000">
              <w:rPr>
                <w:sz w:val="24"/>
                <w:rtl w:val="0"/>
              </w:rPr>
              <w:t xml:space="preserve"> panta otrās daļas 4.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9.</w:t>
            </w:r>
            <w:r w:rsidR="00000000" w:rsidRPr="00000000" w:rsidDel="00000000">
              <w:rPr>
                <w:sz w:val="24"/>
                <w:vertAlign w:val="superscript"/>
                <w:rtl w:val="0"/>
              </w:rPr>
              <w:t xml:space="preserve">3</w:t>
            </w:r>
            <w:r w:rsidR="00000000" w:rsidRPr="00000000" w:rsidDel="00000000">
              <w:rPr>
                <w:sz w:val="24"/>
                <w:rtl w:val="0"/>
              </w:rPr>
              <w:t xml:space="preserve"> panta trešā daļa, MK noteikumu Nr.72 42. 44.</w:t>
            </w:r>
            <w:r w:rsidR="00000000" w:rsidRPr="00000000" w:rsidDel="00000000">
              <w:rPr>
                <w:sz w:val="24"/>
                <w:vertAlign w:val="superscript"/>
                <w:rtl w:val="0"/>
              </w:rPr>
              <w:t xml:space="preserve">1</w:t>
            </w:r>
            <w:r w:rsidR="00000000" w:rsidRPr="00000000" w:rsidDel="00000000">
              <w:rPr>
                <w:sz w:val="24"/>
                <w:rtl w:val="0"/>
              </w:rPr>
              <w:t xml:space="preserve"> un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un 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36(2)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36(2)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36(2) trešā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39. un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37(2)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37(2)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37(2) trešā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5. un 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37(2) ceturtā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37. un 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26. panta 15.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 neapstiprina alternatīvo pavaddokumentu papīra kopijas.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45. un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50. un 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trešā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Izvēles norma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piemērota Latvijā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 panta otrās daļas 12.</w:t>
            </w:r>
            <w:r w:rsidR="00000000" w:rsidRPr="00000000" w:rsidDel="00000000">
              <w:rPr>
                <w:sz w:val="24"/>
                <w:vertAlign w:val="superscript"/>
                <w:rtl w:val="0"/>
              </w:rPr>
              <w:t xml:space="preserve">1</w:t>
            </w:r>
            <w:r w:rsidR="00000000" w:rsidRPr="00000000" w:rsidDel="00000000">
              <w:rPr>
                <w:sz w:val="24"/>
                <w:rtl w:val="0"/>
              </w:rPr>
              <w:t xml:space="preserve"> un 12.</w:t>
            </w:r>
            <w:r w:rsidR="00000000" w:rsidRPr="00000000" w:rsidDel="00000000">
              <w:rPr>
                <w:sz w:val="24"/>
                <w:vertAlign w:val="superscript"/>
                <w:rtl w:val="0"/>
              </w:rPr>
              <w:t xml:space="preserve">2</w:t>
            </w:r>
            <w:r w:rsidR="00000000" w:rsidRPr="00000000" w:rsidDel="00000000">
              <w:rPr>
                <w:sz w:val="24"/>
                <w:rtl w:val="0"/>
              </w:rPr>
              <w:t xml:space="preserve"> punkts, 2. panta 1.</w:t>
            </w:r>
            <w:r w:rsidR="00000000" w:rsidRPr="00000000" w:rsidDel="00000000">
              <w:rPr>
                <w:sz w:val="24"/>
                <w:vertAlign w:val="superscript"/>
                <w:rtl w:val="0"/>
              </w:rPr>
              <w:t xml:space="preserve">1</w:t>
            </w:r>
            <w:r w:rsidR="00000000" w:rsidRPr="00000000" w:rsidDel="00000000">
              <w:rPr>
                <w:sz w:val="24"/>
                <w:rtl w:val="0"/>
              </w:rPr>
              <w:t xml:space="preserve"> daļas 1. punkts, 11.</w:t>
            </w:r>
            <w:r w:rsidR="00000000" w:rsidRPr="00000000" w:rsidDel="00000000">
              <w:rPr>
                <w:sz w:val="24"/>
                <w:vertAlign w:val="superscript"/>
                <w:rtl w:val="0"/>
              </w:rPr>
              <w:t xml:space="preserve">1</w:t>
            </w:r>
            <w:r w:rsidR="00000000" w:rsidRPr="00000000" w:rsidDel="00000000">
              <w:rPr>
                <w:sz w:val="24"/>
                <w:rtl w:val="0"/>
              </w:rPr>
              <w:t xml:space="preserve"> un 11.</w:t>
            </w:r>
            <w:r w:rsidR="00000000" w:rsidRPr="00000000" w:rsidDel="00000000">
              <w:rPr>
                <w:sz w:val="24"/>
                <w:vertAlign w:val="superscript"/>
                <w:rtl w:val="0"/>
              </w:rPr>
              <w:t xml:space="preserve">2</w:t>
            </w:r>
            <w:r w:rsidR="00000000" w:rsidRPr="00000000" w:rsidDel="00000000">
              <w:rPr>
                <w:sz w:val="24"/>
                <w:rtl w:val="0"/>
              </w:rPr>
              <w:t xml:space="preserve"> pants, 23. panta pirmā un septītā daļa, 24. panta pirmā daļa un 26.</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21. panta pirmā daļa un otrā daļa, 23. panta astotā, devītā un 10. daļa un Ministru kabineta 30.08.2005. noteikumu Nr. 662 “Akcīzes preču aprites kārtība” XIII.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33. un 34.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25. panta desmitā daļa un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 panta otrās daļas 15.</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18. panta pirmās daļas 2. un 3. punkts un 21.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piemērota Latvijā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un 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Komisiju un Komiteju procedūrām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pārejas noteikumu 143., 144. un 145.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Nodrošināja datorizētā sistēma, nebija nepieciešams pārejas periods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Informatīva atsauce uz Eiropas Savienības direktīvu likumā “Par akcīzes nodokli” un projektā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Paziņots Eiropas Komisijai ESTAPIKS portālā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un 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par spēkā stāšanos noteikta likumā “Par akcīzes nodokli”, no direktīvas pārņemtās normas stājās spēkā 2023. gada 13. februārī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par direktīvas adresātiem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17. panta 3. punkts un 35. panta 3. punkts paredz, ka atkāpjoties no 17. panta 1. punkta, nosūtītājas dalībvalsts kompetentās iestādes saskaņā ar to paredzētiem nosacījumiem var atļaut, ka 17. panta 1. punktā minēto nodrošinājumu sniedz pārvadātājs, akcīzes preču īpašnieks, akcīzes saņēmējs vai vairākas personas kopā. Šobrīd komersanti darbībām akcīzes preču noliktavā un akcīzes preču nosūtīšanai un saņemšanai izmanto vienu savu nodrošinājumu un akcīzes preču pārvietošanai var izmantot jebkura pārvadātāja pakalpojumu. Ja akcīzes preču pārvietošanai tiks izmantots pārvadātāja nodrošinājums, komersanti būs spiesti meklēt un noslēgt līgumus tikai ar tādiem pārvadātājiem, kuri varēs garantēt akcīzes preču pārvietojumu ar saviem finanšu līdzekļiem. Ievērojot, ka akcīzes preču pārvietošanai (it īpaši naftas produktu pārvietošanai) nepieciešami lieli finansiālie līdzekļi, komersanti būs ierobežoti pārvadātāju izvēlē, līdz ar ko viņiem pieaugs pārvadājumu pakalpojumu izmaksas un palielināsies administratīvais slogs. Ievērojot minēto, kā arī faktu,  ka attiecībā uz šo jautājumu nav bijuši ierosinājumi no akcīzes preču apritē iesaistīto komersantu puses,  šobrīd direktīvā paredzētā izvēles brīvība netiek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17. panta 5. punkta a) apakšpunkts paredz, ka nosūtītāja dalībvalsts var atkāpties no prasības sniegt nodrošinājumu par  akcīzes preču pārvietošanu, kam piemēro atliktās nodokļa maksāšanas režīmu, ja pārvietošana pilnībā notiek minētās dalībvalsts teritorijā. Lai būtiski mazinātu administratīvo un finansiālo slogu akcīzes preču apritē iesaistītajiem komersantiem, MK noteikumu Nr. 72 7. punkta otrajā teikumā noteikts, ka pārvietojot akcīzes preces atliktās akcīzes nodokļa maksāšanas režīmā Latvijas Republikas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komersanti, kuriem saskaņā ar šiem noteikumiem piešķirts iesniedzamā vispārējā nodrošinājuma samazinājums, izmanto iesniegto vispārējo nodrošinājumu atbilstoši piešķirtajam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mazās alkoholisko dzērienu darītavas un komersanti, kuriem piešķirts atzītā uzņēmēja statuss muitas jomā vai Padziļinātās sadarbības programmas sudraba vai zelta līmeņa dalībnieka statuss, izmanto iesniegto vispārējo nodrošinājumu, un tam piemērojams samazinājums 100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17. panta 5. punkta b) apakšpunkts paredz, ka nosūtītāja dalībvalsts var atkāpties no prasības sniegt nodrošinājumu par  energoproduktu, kam piemēro atliktās nodokļa maksāšanas režīmu, pārvietošanai pa jūru Savienībā, ja tam piekrīt citas attiecīgās dalībvalstis.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Latvijas komersanti, kuri pārvieto pa jūru energoproduktus, būtu vienādos konkurences apstākļos ar kaimiņvalstu komersantiem, atbilstoši  MK noteikumu  Nr. 72 7.</w:t>
            </w:r>
            <w:r w:rsidR="00000000" w:rsidRPr="00000000" w:rsidDel="00000000">
              <w:rPr>
                <w:sz w:val="24"/>
                <w:vertAlign w:val="superscript"/>
                <w:rtl w:val="0"/>
              </w:rPr>
              <w:t xml:space="preserve">1</w:t>
            </w:r>
            <w:r w:rsidR="00000000" w:rsidRPr="00000000" w:rsidDel="00000000">
              <w:rPr>
                <w:sz w:val="24"/>
                <w:rtl w:val="0"/>
              </w:rPr>
              <w:t xml:space="preserve"> punkta nosacījumiem naftas produktu pārvietošanai pa jūru piemērojams tāds pats nodrošinājuma samazinājums, kāds noteikts kaimiņvalstī Lietuvā . Līdz ar to direktīvas Nr.2020/262 17. panta 5. punkta b) apakšpunktā noteiktā brīvība netiek izmantota. Neviena no dalībvalstīm nav ierosinājusi slēgt šādu vienošanos un mūsu rīcībā nav informācija, ka šādas vienošanās tiek slēgtas.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pants paredz, ka nosūtītājas dalībvalsts kompetentās iestādes saskaņā ar minētās dalībvalsts paredzētiem nosacījumiem var atļaut nosūtītājam energoproduktu pārvietošanu atliktās nodokļa maksāšanas režīmā veikt divās vai vairākās daļās. Minētā norma kopš 13.02.2023. Latvijā vairs netiek pārņemta, jo Latvijas komersanti šādu darbību neizmanto. Kopš datorizētās sistēmas ieviešanas 2010.g. Latvijas datorizētajā sistēmā bija reģistrēts tikai viens šāds gadījums 2012.g. Šādai darbībai nepieciešamā funkcionalitāte ir sarežģīta un tās uzturēšana datorizētajā sistēmā ievērojami sadārdzina sistēmas uzturēšanas izmaksas. Ievērojot Direktīvas 23. panta 2. punkta prasības Latvija ir paziņojusi Eiropas Komisijai, ka tā neatļauj pārvietošanu savā teritorijā veikt pa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26. panta 2. punkta otrajā rindkopā ir noteikts, ka pirms sākta pārvietošana, nosūtītāja dalībvalsts var arī pieprasīt nosūtītājam tā dokumenta kopiju, kas minēts pirmās daļas a) apakšpunktā, šajā kopijā esošās informācijas apstiprināšanu nosūtītājā dalībvalstī un, ja datorizētā sistēma nav pieejama nosūtītāja vainas dēļ, attiecīgu informāciju par iemesliem. Latvijā datorizētās sistēmas nepieejamības gadījumā tiek pieprasīta alternatīvā dokumenta kopija, bet iesniedzējam nav jāsaņem tās apstiprināšana Valsts ieņēmumu dienestā. Latvijā nav paredzēts, ka atkāpšanās procedūru var piemērot, ja datorizētā sistēma nav pieejama nosūtītāja vainas dēļ. Ņemot vērā to, ka preču nosūtītājam obligāti jāpiemēro direktīvas 26. panta 1. punkta a) apakšpunktā noteiktā prasība, alternatīvā dokumenta (kuru nepieciešams pievienot precēm) kopiju iesniegt Valsts ieņēmumu dienestam, kā informāciju, šobrīd neradīs papildu administratīvo slogu. Latvijā nav paredzēts pieļaut, ka elektronisko administratīvo dokumentu un elektronisko vienkāršoto administratīvo dokumentu var neiesniegt datorizētajā sistēmā nosūtītāja vainas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30., 31. un 41. pantā ir izvēles normas par vienkāršotām procedūrām attiecībā uz akcīzes preču pārvietošanu vienā dalībvalstī un divās vai vairākās dalībvalstīs. Šobrīd Latvija neplāno tās piemērot.</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17. panta 2. punktu plānots pārņemt ar grozījumiem likumā “Par akcīzes nodokli”, kurus izstrādā Finanšu ministrija, līdz 2024.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35. panta 6. punktā noteikts, ka apstiprināts noliktavas turētājs vai reģistrēts nosūtītājs var uzņemties sertificēta nosūtītāja pienākumus šīs iedaļas nolūkiem, par to iepriekš informējot nosūtītājas dalībvalsts kompetentās iestādes. Latvijā reģistrētam nosūtītājam nav paredzēts atļaut patēriņam nodotu akcīzes preču nosūtīšanu, jo tam nav savas darbības vietas ar akcīzes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42. pantu attiecībā uz elektroniskā vienkāršotā administratīvā dokumenta izmantošanu par patēriņam nodotu akcīzes preču pārvietošanu starp diviem galapunktiem Latvijā ar maršrutu cauri citas dalībvalsts teritorijai Latvijā nepiemēro, jo Latvijā nav tādas ģeogrāfiskās īpatnības, kā dēļ šāda veida pārvietošanai rodas dabiska nepieciešamība. Līdz šim nav konstatēti tādi gadījumi. Latvijā šo prasību nevarētu piemērot, jo saskaņā ar Eiropas Komisijas specifikācijām datorizētā sistēma nevarētu nosūtīt elektronisko vienkāršoto administratīvo dokumentu tādai valstij, kas nav norādīta minētajā dokumentā kā saņēmēja dalībvalsts. Lai varētu direktīvas prasību ieviest visā Eiropas Savienībā, ir jāveic grozījumi Komisijas deleģētajā regulā 2022/1636, papildinot tajā noteiktā elektroniskā vienkāršotā administratīvā dokumenta saturu ar informāciju par dalībvalsti, caur kuras teritoriju ir plānots pārvietot patēriņam nodotas akcīzes preces. Lai iesniegtu elektronisko vienkāršoto administratīvo dokumentu patēriņam nodotu akcīzes preču pārvietošanai, nosūtītājam ir nepieciešamas sertificēta nosūtītāja vai īslaicīgi sertificēta nosūtītāja tiesības, savukārt akcīzes preču saņēmējam ir jāiesniedz finansiāls akcīzes nodokļa nodrošinājums, lai saņemtu sertificēta saņēmēja vai īslaicīgi sertificēta saņēmēja tiesības (direktīvas 32. panta 2. punkta a) apakšpunkts). Tā kā Latvijas datorizētajā sistēmā nav paredzēta patēriņam nodotu akcīzes preču pārvietošana starp Latvijas komersantiem, tad šādu papildus prasību ieviešana būtu sadārdzinājusi datorizētās sistēmas ieviešanas izmaksas un radītu papildus administratīvo slogu Latvijas akcīzes preču vairumtirgotājiem. Kopš datorizētās sistēmas ieviešanas 2010. gadā no praktiskās darbības jomas nav bijis pieprasījuma pēc kārtības tāda veida pārvietošanas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43. pantā noteikti Eiropas Komisijas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51. un 52. pantā ir noteikti Eiropas Komisijas un Akcīzes nodokļu komitejas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53. panta pirmajā, otrajā un ceturtajā rindkopā ir noteikti Eiropas Komisijas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56. un 57. pants attiecas uz direktīvas spēkā stāšanos un nenosaka dalībvalstu pienākumus.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5. jūlija deleģētā regula (EK) 2022/1636, ar ko papildina Padomes direktīvu (ES) 2020/262, nosakot to dokumentu struktūru un saturu, kuru apmaiņa notiek saistībā ar akcīzes preču pārvietošanu, un nosakot robežvērtību zudumiem preču specifikas dēļ.</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4., 5., 6.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8. un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36. un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25., 26., 41., 40. un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17., 18., 19., 20. un 66.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6(a)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21. un 66.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23., 24., 27. 29. 35. 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pielikums 1. tabula 9a rinda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pielikums 1. tabula 9c, 9f un 15 rinda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pielikums 1. tabula 1d un 1e rinda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pielikums 10. tabula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64.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 punkts paredz vienotu elektroniskā administratīvā dokumenta un elektroniskā vienkāršotā administratīvā dokumenta vietējā identifikācijas numura piešķiršanas kārtību, lai nodrošinātu vieglāku dokumentu uzskaiti un to, ka minētie numuri nedublējas.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 punkts paredz norādīt elektroniskajā administratīvajā dokumentā un elektroniskajā vienkāršotajā administratīvajā dokumentā nosūtāmo akcīzes preču rēķina datumu, akcīzes preču nosūtīšanas laiku un informāciju par pirmo pārvadātāju, kas Komisijas deleģētajā regulā 2022/1636 nav noteikta, kā obligāti norādāma informācija. Minētā informācija nepieciešama Valsts ieņēmumu dienesta kontroles funkciju nodrošināšanai, t. sk. PVN jomā. Informācija par pirmo transportētāju nepieciešama, lai būtu iespējams identificēt atbildīgo personu likuma 34. panta prasību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punkts paredz, ka elektroniskajā administratīvajā dokumentā un elektroniskajā vienkāršotajā administratīvajā dokumentā norāda Komisijas deleģētās regulas 2022/1636 1. pielikuma 1. tabulas "(Vienkāršotā) elektroniskā administratīvā dokumenta projekts un (vienkāršotais) elektroniskais administratīvais dokuments" 9(c) ailē rēķina datumu, 9(f) ailē nosūtīšanas laiku un 15. ailē informāciju par pirmo pārvadātāju. Informācija nepieciešama precīzākai kontroles nodrošināšanai.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2016. gada 24. februāra īstenošanas regula (ES) 2016/323, ar ko nosaka sīki izstrādātus noteikumus par sadarbību un informācijas apmaiņu starp dalībvalstīm attiecībā uz akcīzes precēm saskaņā ar Padomes regulu (ES) Nr. 389/2012.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27., 53. un 54.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6(a) un 14(a)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52. un 56.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2. punkts un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60.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61. un 62.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5. jūlija īstenošanas regula (ES) 2022/1637, ar ko paredz noteikumus Padomes direktīvas (ES) 2020/262 piemērošanai attiecībā uz dokumentu izmantošanu saistībā ar akcīzes preču pārvietošanu atliktās nodokļa maksāšanas režīmā un akcīzes preču pārvietošanu pēc nodošanas patēriņam, kā arī nosaka atbrīvojuma sertifikāta veidlapu.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9. oktobra regula (ES) Nr. 952/2013, ar ko izveido Savienības Muitas kodeksu.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ir dotas tikai atsauces uz regulā minētajiem priekšmetiem.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10., 16. un 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ir dotas tikai atsauces uz regulā minētajiem priekšmetiem.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(mk.gov.lv)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apspriešanā priekšlikumi vai iebildumi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23-TA-2304</w:t>
    </w:r>
    <w:r>
      <w:br/>
    </w:r>
    <w:r w:rsidR="00000000" w:rsidRPr="00000000" w:rsidDel="00000000">
      <w:rPr>
        <w:rtl w:val="0"/>
      </w:rPr>
      <w:t xml:space="preserve">Izdrukāts 29.07.2026. 23.28 - 4.0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23-TA-2304</w:t>
    </w:r>
    <w:r>
      <w:br/>
    </w:r>
    <w:r w:rsidR="00000000" w:rsidRPr="00000000" w:rsidDel="00000000">
      <w:rPr>
        <w:rtl w:val="0"/>
      </w:rPr>
      <w:t xml:space="preserve">Izdrukāts 29.07.2026. 23.28 - 4.0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anotācija_(ex_ante)_23-TA-2304.docx</dc:title>
</cp:coreProperties>
</file>

<file path=docProps/custom.xml><?xml version="1.0" encoding="utf-8"?>
<Properties xmlns="http://schemas.openxmlformats.org/officeDocument/2006/custom-properties" xmlns:vt="http://schemas.openxmlformats.org/officeDocument/2006/docPropsVTypes"/>
</file>