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Ieguldījumu pārvaldes sabiedrību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Ieguldījumu pārvaldes sabiedrību likumā” (turpmāk - Likumprojekts) izstrādāts, lai pārņemtu Eiropas Parlamenta un Padomes 2024. gada 13. marta direktīvu (ES) 2024/927 ar ko groza direktīvas 2011/61/ES un 2009/65/EK attiecībā uz vienošanos par deleģēšanu, likviditātes riska pārvaldību, uzraudzības pārskatu sniegšanu, depozitāriju un turētājbanku pakalpojumu sniegšanu un aizdevumu izsniegšanu, ko veic alternatīvo ieguldījumu fondi (turpmāk – Direktīva 2024/927).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Ieguldījumu pārvaldes sabiedrību likumā pārņemtu Direktīvas 2024/927 prasības, ar ko tiek precizēti noteikumi attiecībā uz ieguldījumu fondu  un ieguldījumu pārvaldes sabiedrību (turpmāk – sabiedrība) darbības atļaušanu, darbības deleģēšanu, aktīvu glabāšanu, uzraudzības pārskatu sniegšanu un likviditātes riska pārvaldību.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16. aprīlim ir nepieciešams pārņemt Direktīvas Nr. 2024/927 2.pantu, veicot grozījumus Ieguldījumu pārvaldes sabiedrību likumā. Grozījumi ir nepieciešami, lai uzlabotu deleģēšanas kārtību un tiesisko regulējumu turētājbankām, uzlabotu uzraudzības pārskatu sniegšanas kārtību, novēršot dublēšanos uzraudzības pārskatu sniegšanā. Tāpat arī ir nepieciešams veicināt saskaņotu pieeju likviditātes pārvaldības instrumentu lietošanai ieguldījumu fondu pārvaldībā.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normatīvais akts, kurā pārņemtas Direktīvā Nr. 2009/65/EK noteiktās prasības, ir Ieguldījumu pārvaldes sabiedrību likums, lai pārņemtu Direktīvas Nr. 2024/927 2.pantā noteiktās prasības, ir jāveic grozījumi Ieguldījumu pārvaldes sabiedrību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uzlabot juridisko noteiktību sabiedrības pakalpojumu sniegšanai trešajām personām, atļaujot tām sniegt tos pašus pakalpojumus un darbības, ko tās jau veic attiecībā uz ieguldījumu fondu pārvaldīšanu, ar noteikumu, ka jebkāds iespējamais interešu konflikts, ko rada šādas darbības nodrošināšana trešajām personām, tiek pienācīgi pārvaldīts. Šādas funkcijas un darbības ietver korporatīvos pakalpojumus, piemēram, cilvēkresursu un tehnisko resursu jomās, kā arī pakalpojumus portfeļa pārvaldībai un risku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lielāku caurskatāmību un uzraudzības iestāžu informēšanu par deleģētajām funkcijām, ir nepieciešams noteikt prasības, kas piemērojamas sabiedrībai, kura deleģē savas funkcijas trešajām personām. Tāpat arī nepieciešams nodrošināt konsekventu un vienotu regulējumu struktūrām, kuras sniedz turētājbanku pakalpojumus, harmonizēt uzraudzības datu vākšanu un veicināt likviditātes pārvaldības instrumentu lietošanu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pastāvīgas sabiedrības vadības kapacitāti dalībvalstī, līdzšinējās prasības sabiedrības amatpersonām būtu papildināmas ar nosacījumu, ka šīs amatpersonas uz pilnu slodzi ir nodarbinātas sabiedrībā un viņu pastāvīgā dzīvesvieta ir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likumu, tika secināts, ka likumā ir atsevišķas neprecizitātes vai neskaidras normas, kuras būtu nepieciešams precizēt un pilnveidot, piemēram,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neprecīzi definēti iesniedzamie dokumenti noziedzīgi iegūtu līdzekļu legalizācijas un terorisma un proliferācijas finansēšanas novēršanas jomā, izcelta tikai viena no nepieciešamajām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noteikts, ka sabiedrībai ik reiz, kad tiek veiktas izmaiņas kādā no dokumentiem vai informācijā, kas tiek iesniegta licences saņemšanai, ir jāveic saskaņošana ar Latvijas Banku. Turklāt šobrīd likumā nav norādes uz būtiskumu, tādējādi pat pie mazākajam izmaiņām notiek dokumentu vai informācijas saskaņošana, kas rada papildu slogu visām iesaistītajām pusēm.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precizē Ieguldījumu pārvaldes sabiedrību likuma 5.panta otro daļu un papildina ar 4.</w:t>
      </w:r>
      <w:r w:rsidR="00000000" w:rsidRPr="00000000" w:rsidDel="00000000">
        <w:rPr>
          <w:vertAlign w:val="superscript"/>
          <w:rtl w:val="0"/>
        </w:rPr>
        <w:t xml:space="preserve">1</w:t>
      </w:r>
      <w:r w:rsidR="00000000" w:rsidRPr="00000000" w:rsidDel="00000000">
        <w:rPr>
          <w:rtl w:val="0"/>
        </w:rPr>
        <w:t xml:space="preserve"> daļu. Minētie grozījumi precizē nosacījumus, kas attiecināmi uz sabiedrības darbības veidiem, kā arī papildina sabiedrības darbības veidus ar etalonu pārvaldību saskaņā ar Eiropas Parlamenta un Padomes 2016. gada 8. jūnija regulu (ES) 2016/1011 par indeksiem, ko izmanto kā etalonus finanšu instrumentos un finanšu līgumos vai ieguldījumu fondu darbības rezultātu mērīšanai, un ar kuru groza direktīvu 2008/48/EK, direktīvu 2014/17/ES un regulu (ES) Nr. 596/2014. Ar minēto grozījumu tiek pārņemts Direktīvas Nr. 2024/927 2.panta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papildina Ieguldījumu pārvaldes sabiedrību likuma 9. pantu ar piekto daļu. Lai nodrošinātu pienācīgu rūpību pārvaldes pakalpojumu sniegšanā un stiprinātu pastāvīgas sabiedrības vadības kapacitāti dalībvalstī,  ir noteiktas prasības sabiedrības amatpersonām - tām ir jābūt kompetentām ieguldījumu jautājumos, jābūt nodarbinātām vai jāvada sabiedrības darbība uz pilnu slodzi, un to pastāvīgajai dzīvesvietai ir jābūt dalībvalstī. Ar minēto grozījumu tiek pārņemts Direktīvas Nr. 2024/927 2.panta 3. punkta “a” apakšpunkta “i”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precizē Ieguldījumu pārvaldes sabiedrību likuma 10.panta sestās daļas 1.punktu, precizējot organizatoriskās struktūras aprakstu, kas jāiesniedz Latvijas Bankai par sabiedrības iekšējās kontroles sistēmu, papildina sesto daļu ar 12.punktu, norādot, kādai informācijai ir jābūt iekļautai deleģēšanas  aprakstā, ja sabiedrība plāno deleģēt kādu no šā likuma 5.panta pirmajā vai otrajā daļā minētajām darbībām atbilstoši šā likuma 15.pantam, precizē 7.</w:t>
      </w:r>
      <w:r w:rsidR="00000000" w:rsidRPr="00000000" w:rsidDel="00000000">
        <w:rPr>
          <w:vertAlign w:val="superscript"/>
          <w:rtl w:val="0"/>
        </w:rPr>
        <w:t xml:space="preserve">2</w:t>
      </w:r>
      <w:r w:rsidR="00000000" w:rsidRPr="00000000" w:rsidDel="00000000">
        <w:rPr>
          <w:rtl w:val="0"/>
        </w:rPr>
        <w:t xml:space="preserve"> daļu un papildina pantu ar 7.</w:t>
      </w:r>
      <w:r w:rsidR="00000000" w:rsidRPr="00000000" w:rsidDel="00000000">
        <w:rPr>
          <w:vertAlign w:val="superscript"/>
          <w:rtl w:val="0"/>
        </w:rPr>
        <w:t xml:space="preserve">3</w:t>
      </w:r>
      <w:r w:rsidR="00000000" w:rsidRPr="00000000" w:rsidDel="00000000">
        <w:rPr>
          <w:rtl w:val="0"/>
        </w:rPr>
        <w:t xml:space="preserve"> daļu, nosakot dokumentu iesniegšanas prasības Latvijas Bankai, ja sabiedrība plāno veikt šā likuma 5. panta otrās daļas 3. punktā minēto darbību. Ar minēto grozījumu tiek pārņemts Direktīvas Nr. 2024/927 2.panta 3.punkts. Vienlaikus panta sestās daļas 7.punkts  tiek izteikts jaunā redakcijā, lai precizētu dokumentu noziedzīgi iegūtu līdzekļu legalizācijas un terorisma un proliferācijas finansēšanas novēršanas jomā iesniegšanas pienākuma saturu un vienādotu prasības fondu pārvaldes sabiedrībām (šāda redakcija jau ir ieviesta Alternatīvo ieguldījumu fondu un to pārvaldnieku likumā). Lai veicinātu nozares attīstību un samazinātu sabiedrību un uzraugošās iestādes administratīvo slogu, tiek pilnveidotas prasības (panta vienpadsmitā un divpadsmitā daļa)  iekšējo normatīvo aktu un informācijas saskaņošanas procesam. Šobrīd likuma prasības nosaka, ka  sabiedrībām ik reiz, kad tiek veiktas izmaiņas kādā no dokumentiem vai informācijā, kas tika iesniegti licences saņemšanai, ir jāveic saskaņošana ar Latvijas Banku. Turklāt šobrīd likumā nav norādes uz būtiskumu, tādējādi pat pie mazākajām izmaiņām notiek dokumentu vai informācijas saskaņošana, kas rada papildu slogu visām iesaistītajām pusēm. Plānotās izmaiņas ir vērstas uz risku balstītu uzraudzības pieeju, proti,  sabiedrība nekavējoties informēs Latvijas Banku par veiktajām izmaiņām dokumentos un informācijā, kas attiecas uz būtiskajām izmaiņām dokumentos, kas saistīti ar noziedzīgi iegūtu līdzekļu legalizācijas un terorisma un proliferācijas finansēšanas novēršanu, ar fonda ieguldījumu, pakalpojumu sniegšanu un riska pārvaldīšanu, ar ietekmi uz klienta vai ieguldītāja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7.pants papildina Ieguldījumu pārvaldes sabiedrību likuma 13.pantu ar 1.</w:t>
      </w:r>
      <w:r w:rsidR="00000000" w:rsidRPr="00000000" w:rsidDel="00000000">
        <w:rPr>
          <w:vertAlign w:val="superscript"/>
          <w:rtl w:val="0"/>
        </w:rPr>
        <w:t xml:space="preserve">4</w:t>
      </w:r>
      <w:r w:rsidR="00000000" w:rsidRPr="00000000" w:rsidDel="00000000">
        <w:rPr>
          <w:rtl w:val="0"/>
        </w:rPr>
        <w:t xml:space="preserve"> daļu, nosakot, kas sabiedrībai ir jāievēro, lai novērstu interešu konfliktus, ja tā pārvalda vai plāno pārvaldīt fondu pēc trešās personas iniciatīvas, un precizē otrās daļas 6.punktu, kur noteikts, kas jāievēro sabiedrībai, sniedzot ieguldījumu pakalpojumus un ieguldījumu blakuspakalpojumus. Ar minēto grozījumu tiek pārņemts Direktīvas Nr. 2024/927 2.panta 2.punkta "b" apakšpunkts, kā arī 2. panta 5. punkta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8.pants izslēdz Ieguldījumu pārvaldes sabiedrību likuma 13.</w:t>
      </w:r>
      <w:r w:rsidR="00000000" w:rsidRPr="00000000" w:rsidDel="00000000">
        <w:rPr>
          <w:vertAlign w:val="superscript"/>
          <w:rtl w:val="0"/>
        </w:rPr>
        <w:t xml:space="preserve">2</w:t>
      </w:r>
      <w:r w:rsidR="00000000" w:rsidRPr="00000000" w:rsidDel="00000000">
        <w:rPr>
          <w:rtl w:val="0"/>
        </w:rPr>
        <w:t xml:space="preserve"> panta otrās daļas 1.punktu, jo prasības amatpersonām un fonda pārvaldniekiem par kompetenci ieguldījumu jautājumos pārskatāmības nolūkos tiek strukturāli pārceltas uz šā likuma 9. pantu (amatpersonām) un 29. pantu (fonda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pants precizē Ieguldījumu pārvaldes sabiedrību likuma 15. pantā minētos nosacījumus sabiedrības darbību deleģēšanai, izsakot 15. pantu jaunā redakcijā. Ar minēto grozījumu tiek pārņemts Direktīvas Nr. 2024/927 2. panta 4. punkts. Ar veiktajiem grozījumiem tiek nodrošināts, ka Latvijas Banka saņem informāciju par darbībām, kuras sabiedrība plāno deleģēt trešajai personai, kā arī tiek noteikts, ka sabiedrībai deleģēto darbību veikšanai jāizvēlas kvalificēta un uzticama trešā persona, jāizstrādā kārtība deleģēšanas procesa organizēšanai, deleģētās darbības izpildes apjoma un kvalitātes nepārtrauktai uzraudzībai, kā arī ar deleģēšanu saistīto risku pārvaldībai. Grozījumi paredz noteikumus, kuri jāiekļauj deleģēšanas līgumā. Salīdzinot ar pašlaik spēkā esošo Ieguldījumu pārvaldes sabiedrību likuma 15. panta redakciju, sabiedrībai arī par plānoto darbību deleģēšanu, kas ietver fonda administratīvo vadību un marketingu, būs jāinformē Latvijas Banka pirms deleģēšanas līguma noslēgšanas, nevis piecu darbdienu laikā pēc deleģēšanas līguma noslēgšanas, kā tas bija noteikts līdz šim, kā arī sabiedrībai vairs netiek izvirzīta prasība pirms deleģēšanas iesniegt Latvijas Bankai izvērtēšanai deleģēšanas procedūru un ziņot par jebkuriem grozījumiem tajā. Riska pārvaldība ir viens no būtiskākajiem valsts fondēto pensiju līdzekļu pārvaldīšanas elementiem, jo tieši tā nodrošina dalībnieku uzkrātā pensijas kapitāla aizsardzību. Bez efektīvas risku identificēšanas, novērtēšanas un uzraudzības līdzekļu pārvaldītājs nevar pilnvērtīgi izprast darbības sekas, kā rezultātā pastāv risks pieņemt lēmumus, kas pārsniedz pieļaujamo risku līmeni un neatbilst dalībnieku interesēm. Ja šo funkciju veic ārpakalpojumu sniedzējs, līdzekļu pārvaldītājs gan formāli saglabā struktūru, taču faktiski var zaudēt spēju efektīvi kontrolēt ar pārvaldīto līdzekļu ieguldīšanu saistītos riskus. Tas nebūtu savienojams ar nepieciešamību nodrošināt atbildīgu un pārredzamu valsts fondēto pensiju līdzekļu pārvaldību. Ņemot vērā minēto, likumprojekta 9. pants (likuma 15. panta devītās daļas 4. punkts) paredz, ka sabiedrība, kas ir valsts fondēto pensiju shēmas līdzekļu pārvaldītājs, nedrīkst deleģēt risku pārvaldības funkciju citai personai. Likumprojekta 9. pantā (15. panta devītās daļas 3. punktā) minētais tieši piemērojamais Eiropas Savienības tiesību akts par nosacījumiem, saskaņā ar kuriem tiek uzskatīts, ka pārvaldes pakalpojumi deleģēti tādā apmērā, ka sabiedrība kļūst par pastkastītes uzņēmumu, būs jauna regula, kuru Eiropas Komisija izdos, pamatojoties uz Direktīvas Nr. 2024/927 2. panta 4. punkta “b” apakšpunktā ietverto deleģējumu. Šobrīd kvantitatīvie un kvalitatīvie kritēriji “pastkastītes uzņēmuma” noteikšanai ir definēti attiecībā uz AIFP un tie ir noteikti Komisijas 2012. gada 19. decembra deleģētās regulas (ES) Nr. 231/2013, ar ko papildina Eiropas Parlamenta un Padomes Direktīvu 2011/61/ES attiecībā uz atbrīvojumiem, vispārējiem darbības nosacījumiem, depozitārijiem, saistību īpatsvaru, pārskatāmību un uzraudzību, 82.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10.pants papildina Ieguldījumu pārvaldes sabiedrību likumu ar 26.</w:t>
      </w:r>
      <w:r w:rsidR="00000000" w:rsidRPr="00000000" w:rsidDel="00000000">
        <w:rPr>
          <w:vertAlign w:val="superscript"/>
          <w:rtl w:val="0"/>
        </w:rPr>
        <w:t xml:space="preserve">1</w:t>
      </w:r>
      <w:r w:rsidR="00000000" w:rsidRPr="00000000" w:rsidDel="00000000">
        <w:rPr>
          <w:rtl w:val="0"/>
        </w:rPr>
        <w:t xml:space="preserve"> pantu “Likviditātes pārvaldības instrumenti”, norādot, kādus likviditātes pārvaldības instrumentus fonds drīkst izmantot un kas nosaka likviditātes pārvaldības instrumentu īpašības, kā arī nosaka, kas jāievēro sabiedrībai, izmantojot likviditātes pārvaldības instrumentus. Ar minēto grozījumu tiek pārņemts Direktīvas Nr. 2024/927  2.panta 6. un 20. punkts un IV pielikums. No Direktīvas Nr. 2024/927 2. panta 13. punkta (84. panta 2. punkta "a" apakšpunkta) izriet, ka fondam savu sertifikātu turētāju interesēs ir jābūt iespējai izmantot divus likviditātes pārvaldības instrumentus, kuri minēti direktīvas IIA pielikuma 1. un 9. punktā. Šo likviditātes pārvaldības instrumentu izvēli direktīva neparedz, tiem ir jābūt un tos aktivizē noteiktos apstākļos. Likviditātes pārvaldības nodrošināšanai fonda pārvaldes sabiedrībai ir pienākums izvēlēties vēl vismaz divus citus fonda likviditātes pārvaldības instrumentus no IIA pielikuma 2. līdz 8. punktā minētajiem. Lai pilnībā pārņemtu šo Direktīvas Nr. 2024/927 prasību, likumprojekta 10. pants (likuma 26.1 panta trešās daļas 2. punkts) nosaka sabiedrībai izmantot šā panta pirmās daļas 1. un 9. punktā minētos likviditātes pārvaldības instrumentus un papildus izvēlēties vismaz divus citus piemērotus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11.pants papildina Ieguldījumu pārvaldes sabiedrību likuma 28.panta trešo daļu ar 4.</w:t>
      </w:r>
      <w:r w:rsidR="00000000" w:rsidRPr="00000000" w:rsidDel="00000000">
        <w:rPr>
          <w:vertAlign w:val="superscript"/>
          <w:rtl w:val="0"/>
        </w:rPr>
        <w:t xml:space="preserve">1</w:t>
      </w:r>
      <w:r w:rsidR="00000000" w:rsidRPr="00000000" w:rsidDel="00000000">
        <w:rPr>
          <w:rtl w:val="0"/>
        </w:rPr>
        <w:t xml:space="preserve"> punktu, nosakot, kāda informācija fonda pārvaldes nolikumā ir jānorāda attiecībā uz izmantotajiem likviditātes pārvaldības instrumentiem. Ar minēto grozījumu tiek pārņemts Direktīvas Nr. 2024/927  2.panta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12.pants papildina Ieguldījumu pārvaldes sabiedrību likuma 29.panta pirmo daļu, nosakot, ka fonda pārvaldniekam ir jābūt kompetentam ieguldījumu jautājumos (pārnests no Ieguldījumu pārvaldes sabiedrību likuma 13.</w:t>
      </w:r>
      <w:r w:rsidR="00000000" w:rsidRPr="00000000" w:rsidDel="00000000">
        <w:rPr>
          <w:vertAlign w:val="superscript"/>
          <w:rtl w:val="0"/>
        </w:rPr>
        <w:t xml:space="preserve">2</w:t>
      </w:r>
      <w:r w:rsidR="00000000" w:rsidRPr="00000000" w:rsidDel="00000000">
        <w:rPr>
          <w:rtl w:val="0"/>
        </w:rPr>
        <w:t xml:space="preserve"> panta otrās daļas 1.punkta).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13.pants precizē Ieguldījumu pārvaldes sabiedrību likuma 43.panta ceturtās daļas 1.punktu un papildina panta ceturto daļu ar 1.</w:t>
      </w:r>
      <w:r w:rsidR="00000000" w:rsidRPr="00000000" w:rsidDel="00000000">
        <w:rPr>
          <w:vertAlign w:val="superscript"/>
          <w:rtl w:val="0"/>
        </w:rPr>
        <w:t xml:space="preserve">1</w:t>
      </w:r>
      <w:r w:rsidR="00000000" w:rsidRPr="00000000" w:rsidDel="00000000">
        <w:rPr>
          <w:rtl w:val="0"/>
        </w:rPr>
        <w:t xml:space="preserve"> punktu, precizējot nosacījumus, kas jāievēro turētājbankai, piesaistot fonda finanšu instrumentu vai citu fonda aktīvu turēšanai trešo personu, un astoto daļu, kur precizēts, kas netiek uzskatīts par finanšu instrumentu vai citu fonda aktīvu turēšanu pie trešās personas. Ar minēto grozījumu tiek pārņemts Direktīvas Nr. 2024/927  2.panta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14.pants precizē Ieguldījumu pārvaldes sabiedrību likuma 53.panta devīto daļu, nosakot ieguldījumu apliecību pārdošanas cenas un atpakaļpirkšanas cenas publiskošanas biežumu, lai nodrošinātu precīzāku atbilstību Direktīvas Nr. 2009/65/EK 76. panta prasībai.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15.pants precizē Ieguldījumu pārvaldes sabiedrību likuma 54.panta trešo daļu un papildina pantu ar 3.</w:t>
      </w:r>
      <w:r w:rsidR="00000000" w:rsidRPr="00000000" w:rsidDel="00000000">
        <w:rPr>
          <w:vertAlign w:val="superscript"/>
          <w:rtl w:val="0"/>
        </w:rPr>
        <w:t xml:space="preserve">1</w:t>
      </w:r>
      <w:r w:rsidR="00000000" w:rsidRPr="00000000" w:rsidDel="00000000">
        <w:rPr>
          <w:rtl w:val="0"/>
        </w:rPr>
        <w:t xml:space="preserve"> daļu, precizējot nosacījumus fonda ieguldījumu apliecību atpakaļpirkšanai, kā arī papildina pantu ar septīto un astoto daļu, kurā noteikti sabiedrības ziņošanas pienākumi uzraudzības institūcijai saistībā ar ieguldījumu apliecību atpakaļpirkšanu, un devīto daļu, kurā noteikts, kādos gadījumos saistībā ar ieguldījumu apliecību atpakaļpirkšanu Latvijas Banka informē citas dalībvalsts uzraudzības institūciju. Ar minēto grozījumu tiek pārņemts Direktīvas Nr. 2024/927  2.panta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16.pants precizē Ieguldījumu pārvaldes sabiedrību likuma 56.panta 2.</w:t>
      </w:r>
      <w:r w:rsidR="00000000" w:rsidRPr="00000000" w:rsidDel="00000000">
        <w:rPr>
          <w:vertAlign w:val="superscript"/>
          <w:rtl w:val="0"/>
        </w:rPr>
        <w:t xml:space="preserve">1</w:t>
      </w:r>
      <w:r w:rsidR="00000000" w:rsidRPr="00000000" w:rsidDel="00000000">
        <w:rPr>
          <w:rtl w:val="0"/>
        </w:rPr>
        <w:t xml:space="preserve"> daļu, precizējot nosacījumus, kas ir jāiekļauj fonda prospektā ieguldītājiem paredzētajā pamatinformācijā. Ar minēto grozījumu tiek pārņemts Direktīvas Nr. 2024/927  2.panta 12.punkts.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17.pants precizē Ieguldījumu pārvaldes sabiedrību likuma 57.panta trešās daļas 12.punktu, precizējot fonda prospektā iekļaujamo informāciju par ieguldījumu apliecību atpakaļpirkšanas procedūru, kā arī par likviditātes pārvaldības instrumentu aktivizēšanu vai deaktivizēšanu. Ar minēto grozījumu tiek pārņemts Direktīvas Nr. 2024/927  2. panta 19. punkts un III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18.pants papildina Ieguldījumu pārvaldes sabiedrību likuma 69.pantu ar 5.</w:t>
      </w:r>
      <w:r w:rsidR="00000000" w:rsidRPr="00000000" w:rsidDel="00000000">
        <w:rPr>
          <w:vertAlign w:val="superscript"/>
          <w:rtl w:val="0"/>
        </w:rPr>
        <w:t xml:space="preserve">1</w:t>
      </w:r>
      <w:r w:rsidR="00000000" w:rsidRPr="00000000" w:rsidDel="00000000">
        <w:rPr>
          <w:rtl w:val="0"/>
        </w:rPr>
        <w:t xml:space="preserve"> daļu, kurā minēti nosacījumi gadījumiem, kad sabiedrība fondam aktivizē norobežotos kontus, izmantojot aktīvu nošķiršanu. Ar minēto grozījumu tiek pārņemts Direktīvas Nr. 2024/927  2.panta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19.pants papildina Ieguldījumu pārvaldes sabiedrību likumu ar 72.</w:t>
      </w:r>
      <w:r w:rsidR="00000000" w:rsidRPr="00000000" w:rsidDel="00000000">
        <w:rPr>
          <w:vertAlign w:val="superscript"/>
          <w:rtl w:val="0"/>
        </w:rPr>
        <w:t xml:space="preserve">1</w:t>
      </w:r>
      <w:r w:rsidR="00000000" w:rsidRPr="00000000" w:rsidDel="00000000">
        <w:rPr>
          <w:rtl w:val="0"/>
        </w:rPr>
        <w:t xml:space="preserve"> pantu, kurā noteikti sabiedrības ziņošanas un informācijas sniegšanas pienākumi uzraudzības institūcijām, kā arī noteikts, kā Latvijas Banka apmainās ar saņemto informāciju ar citu dalībvalstu uzraudzības institūcijām. Ar minēto grozījumu tiek pārņemts Direktīvas Nr. 2024/927  2.panta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23.pants precizē Ieguldījumu pārvaldes sabiedrību likuma 78.panta sestās daļas 6.punktu, kur precizēti nosacījumi attiecībā uz Latvijas Bankas tiesībām ārkārtas apstākļos un pēc apspriešanās ar Latvijā reģistrēta fonda pārvaldes sabiedrību  pieprasīt aktivizēt vai deaktivizēt parakstīšanās un atpakaļpirkšanas apturēšanu. Ar minēto grozījumu tiek pārņemts Direktīvas Nr. 2024/927  2.panta 13.punkta “b”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26.pants precizē Ieguldījumu pārvaldes sabiedrību likuma 88.panta desmito daļu, papildinot Latvijas Bankas sadarbības institūciju loku ar Eiropas Vērtspapīru un tirgu iestādi un Eiropas Sistēmisko risku kolēģiju, un papildina minēto pantu ar vienpadsmito, divpadsmito, trīspadsmito, četrpadsmito, piecpadsmito un sešpadsmito daļu, kur noteikti Latvijas Bankas sadarbības ar dalībvalstu un citu valstu uzraudzības institūcijām nosacījumi un principi. Ar minēto grozījumu tiek pārņemts Direktīvas Nr. 2024/927  2.panta 13., 14. un 15.punkts.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27.pants papildina Ieguldījumu pārvaldes sabiedrību likuma 89.panta otro daļu ar 5.punktu, precizējot, ka aizliegums izpaust ierobežotas pieejamības informāciju neattiecas arī uz informāciju, kas paredzēta normatīvajos  aktos nodokļu jomā, attiecīgi likuma “Par nodokļiem un nodevām” 17. pants nosaka nodokļu administrācijas tiesības informācijas pieprasīšanai. Ieguldījumu pārvaldes sabiedrību likuma 89.panta devītā daļa precizēta attiecībā uz centrālā vērtspapīru depozitārija normatīvo regulējumu. Ar minēto grozījumu tiek pārņemts Direktīvas Nr. 2024/927  2.panta 1. punkts un 16. punkta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arī informatīvo atsauci uz Eiropas Savienības direktīvām ar atsauci uz Direktīvu Nr. 2024/927.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28. pants papildina Ieguldījumu pārvaldes sabiedrību likuma pārejas noteikumus ar 51. punktu, paredzot saprātīgu laiku 10. panta jauno prasību izpildei sabiedrībām, kuras jau ieguvušas licenci, jo attiecībā uz tām Direktīva Nr. 2024/927 neparedz prasību izpildes termiņu. Jāņem vērā, ka gan likuma 10. pants, gan ar to saistītās Direktīvas Nr. 2024/927 prasības, attiecas uz sabiedrībām, kuras licenci vēl nav saņēmušas. Tomēr līdzīgas prasības būtu jāattiecina arī uz tām sabiedrībām, kuras licenci jau ir saņēmušas, lai nodrošinātu vienlīdzības principa ievērošanu, kā arī pienācīgu turpmāko uzraudzību visām sabiedrībām neatkarīgi no laika, kad tās saņēma licenci. Pārejas noteikumu 51. punktā termiņš noteikts, ņemot vērā Latvijas Finanšu nozares asociācijas izteikto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28. pants papildina Ieguldījumu pārvaldes sabiedrību likuma pārejas noteikumus ar 52. punktu, paredzot, ka prasība par to, ka sabiedrība attiecībā uz valsts fondēto pensiju shēmas līdzekļu pārvaldīšanu nedrīkst nodot citai personai riska pārvaldes funkcijas veikšanu, stājas spēkā 2026. gada 16. oktobrī (proti, 6 mēnešus pēc šā likumprojekta spēkā stāšanās). Šī prasība nav tieši saistīta ar Direktīvas Nr. 2024/927 prasību pārņemšanu un paredz pārejas periodu, lai finanšu tirgus dalībnieki varētu izvērtēt un pielāgot pašlaik spēkā esošās deleģēšanas procedūras. Noteiktais pārejas perioda termiņš nav pretrunā ar Direktīvas Nr. 2024/927 noteikto direktīvas pārņemšanas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Direktīvas Nr. 2024/927 3. panta 1. punkta otrajā daļā noteikto termiņu atsevišķu direktīvas prasību pārņemšanai, Likumprojekta 28. pants papildina Ieguldījumu pārvaldes sabiedrību likuma pārejas noteikumus ar 53. punktu, nosakot, ka atbilstošas prasības likumā (proti, 72.</w:t>
      </w:r>
      <w:r w:rsidR="00000000" w:rsidRPr="00000000" w:rsidDel="00000000">
        <w:rPr>
          <w:vertAlign w:val="superscript"/>
          <w:rtl w:val="0"/>
        </w:rPr>
        <w:t xml:space="preserve">1</w:t>
      </w:r>
      <w:r w:rsidR="00000000" w:rsidRPr="00000000" w:rsidDel="00000000">
        <w:rPr>
          <w:rtl w:val="0"/>
        </w:rPr>
        <w:t xml:space="preserve"> pants "Sabiedrības sniegtā informācija un tās izmantošana") stājas spēkā 2027. gada 16.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2., 3., 6., 7., 21., 22., 24. un 25.pantā ietvertie grozījumi ir tehniski un tiek veikti, lai salāgotu Direktīvas Nr. 2024/927 terminoloģiju ar Ieguldījumu pārvaldes sabiedrību likuma terminoloģiju nolūkā pēc iespējas precīzāk pārņemt Direktīvas Nr. 2024/927 prasības. Likumprojekta 24. pantā ietvertais grozījums 78.</w:t>
      </w:r>
      <w:r w:rsidR="00000000" w:rsidRPr="00000000" w:rsidDel="00000000">
        <w:rPr>
          <w:vertAlign w:val="superscript"/>
          <w:rtl w:val="0"/>
        </w:rPr>
        <w:t xml:space="preserve">1</w:t>
      </w:r>
      <w:r w:rsidR="00000000" w:rsidRPr="00000000" w:rsidDel="00000000">
        <w:rPr>
          <w:rtl w:val="0"/>
        </w:rPr>
        <w:t xml:space="preserve"> pantā  nepaaugstina maksājuma apmērus, jo esošā redakcija “līdz vienam procentam no sabiedrības sniegto ieguldījumu pakalpojumu bruto ieņēmumiem” tiek aizstāta ar “līdz vienam procentam no šīs darbības bruto ieņēmumiem”. Piemērojot vienu procentu no katras darbības bruto ieņēmumiem un saskaitot tos, veidojas tas pats rezultāts, kad, saskaitot visus darbības ieņēmumus kopā, summai piemēro vienu procentu.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pārvaldes 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atbilstoši Direktīvas 2024/927 prasībām tiek precizētas prasības sabiedrību darbībai, darbību deleģēšanai, aktīvu glabāšanai, uzraudzības pārskatu sniegšanai un likviditātes riska pārvaldībai. Papildus tiek paredzēta iespēja veikt etalonu administrēšanu, ievērojot atbilstošo normatīvo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saistīts ar  likumprojektu "Grozījumi Alternatīvo ieguldījumu fondu un to pārvaldnieku likumā" (25-TA-2104).</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32024L0927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13. marta direktīva (ES) 2024/927 ar ko groza direktīvas 2011/61/ES un 2009/65/EK attiecībā uz vienošanos par deleģēšanu, likviditātes riska pārvaldību, uzraudzības pārskatu sniegšanu, depozitāriju un turētājbanku pakalpojumu sniegšanu un aizdevumu izsniegšanu, ko veic alternatīvo ieguldījumu fondi.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Direktīvas Nr. 2024/927 pārņemšanu.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13. marta direktīva (ES) 2024/927 ar ko groza direktīvas 2011/61/ES un 2009/65/EK attiecībā uz vienošanos par deleģēšanu, likviditātes riska pārvaldību, uzraudzības pārskatu sniegšanu, depozitāriju un turētājbanku pakalpojumu sniegšanu un aizdevumu izsniegšanu, ko veic alternatīvo ieguldījumu fondi.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27. pants (grozījumi 89.panta devītajā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2.panta 2.punkta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(grozījumi 5. 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2.panta 2.punkta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 pants (grozījumi 13. panta otrās daļas 6.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2.panta 3.punkta “a” apakšpunkta “i”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pants (9. panta piektā daļa), 5. pants (grozījumi 10. panta sestās daļas 1. punktā) un 12. pants (grozījumi 29. panta pirmajā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2.panta 3.punkta “a” apakšpunkta “ii”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pants (10. panta sestās daļas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2.panta 3.punkta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pants (10. panta vienpadsmitā un divpadsmitā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pants (grozījumi 15. 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2.panta 5.punkta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 pants (13. panta 1.</w:t>
            </w:r>
            <w:r w:rsidR="00000000" w:rsidRPr="00000000" w:rsidDel="00000000">
              <w:rPr>
                <w:sz w:val="24"/>
                <w:vertAlign w:val="superscript"/>
                <w:rtl w:val="0"/>
              </w:rPr>
              <w:t xml:space="preserve">4</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2.panta 5.punkta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(paredz pienākumu Eiropas Vērtspapīru un tirgu iestādei, kā arī vienreizēju pienākumu dalībvalstu kompetentajām iestādēm sniegt informāciju Eiropas Vērtspapīru un tirgu iestādei, kas izpildāms līdz direktīvas pārņemšanas termiņam).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 un 11. pants (26.</w:t>
            </w:r>
            <w:r w:rsidR="00000000" w:rsidRPr="00000000" w:rsidDel="00000000">
              <w:rPr>
                <w:sz w:val="24"/>
                <w:vertAlign w:val="superscript"/>
                <w:rtl w:val="0"/>
              </w:rPr>
              <w:t xml:space="preserve">1</w:t>
            </w:r>
            <w:r w:rsidR="00000000" w:rsidRPr="00000000" w:rsidDel="00000000">
              <w:rPr>
                <w:sz w:val="24"/>
                <w:rtl w:val="0"/>
              </w:rPr>
              <w:t xml:space="preserve"> pants un 28. panta trešās daļas 4.</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pants (72.</w:t>
            </w:r>
            <w:r w:rsidR="00000000" w:rsidRPr="00000000" w:rsidDel="00000000">
              <w:rPr>
                <w:sz w:val="24"/>
                <w:vertAlign w:val="superscript"/>
                <w:rtl w:val="0"/>
              </w:rPr>
              <w:t xml:space="preserve">1</w:t>
            </w:r>
            <w:r w:rsidR="00000000" w:rsidRPr="00000000" w:rsidDel="00000000">
              <w:rPr>
                <w:sz w:val="24"/>
                <w:rtl w:val="0"/>
              </w:rPr>
              <w:t xml:space="preserve">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2.panta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 pants (grozījumi 43. 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2.panta 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pants (69.panta 5.</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2.panta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pants (grozījumi 56.panta 2.</w:t>
            </w:r>
            <w:r w:rsidR="00000000" w:rsidRPr="00000000" w:rsidDel="00000000">
              <w:rPr>
                <w:sz w:val="24"/>
                <w:vertAlign w:val="superscript"/>
                <w:rtl w:val="0"/>
              </w:rPr>
              <w:t xml:space="preserve">1</w:t>
            </w:r>
            <w:r w:rsidR="00000000" w:rsidRPr="00000000" w:rsidDel="00000000">
              <w:rPr>
                <w:sz w:val="24"/>
                <w:rtl w:val="0"/>
              </w:rPr>
              <w:t xml:space="preserve">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2.panta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 pants (26.</w:t>
            </w:r>
            <w:r w:rsidR="00000000" w:rsidRPr="00000000" w:rsidDel="00000000">
              <w:rPr>
                <w:sz w:val="24"/>
                <w:vertAlign w:val="superscript"/>
                <w:rtl w:val="0"/>
              </w:rPr>
              <w:t xml:space="preserve">1</w:t>
            </w:r>
            <w:r w:rsidR="00000000" w:rsidRPr="00000000" w:rsidDel="00000000">
              <w:rPr>
                <w:sz w:val="24"/>
                <w:rtl w:val="0"/>
              </w:rPr>
              <w:t xml:space="preserve"> panta trešās daļas 2. un 3. punkts), 15. pants (grozījumi 54. pantā), 23. pants (grozījumi 78. panta sestās daļas 6. punktā) un 26. pants (88. panta vienpadsmitā, divpadsmitā un trīspadsmitā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2.panta 14.punkts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26. pants (88.panta četrpadsmitā, piecpadsmitā un sešpadsmitā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2.panta 15.punkta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26. pants (grozījumi 88. panta desmitajā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2.panta 16.punkta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27. pants (89.panta otrās daļas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 panta 16.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jau esošajā regulējumā, Ieguldījumu pārvaldes sabiedrību likuma 89.panta desmitā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 panta 19. punkts un III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pants (grozījumi 57. panta trešās daļas 12.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 panta 20. punkts un IV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 pants (26.1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3.panta 1.punkta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28. pants (pārejas noteikumu 53.punkts)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2. panta 2. punktā ir paredzēts, ka dalībvalstis var pilnvarot sabiedrību sniegt šādus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rīkojumu pieņemšanu un pārsūtīšanu attiecībā uz vienu vai vairākiem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jebkuru citu funkciju vai darbību, ko sabiedrība jau veic saistībā ar fondu, ko tā pārvalda saskaņā ar Direktīvas Nr. 2009/65/EK 6. pantu, vai saistībā ar pakalpojumiem, ko tā sniedz saskaņā ar minētās direktīvas 6. panta 3. punktu, ar noteikumu, ka tiek pienācīgi pārvaldīts jebkurš iespējamais interešu konflikts, ko rada šīs funkcijas vai darbības nodrošināšana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etalonu pārvaldību saskaņā ar Regulu Nr. 2016/1011.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Minētā izvēles iespēja pārņemta likumprojekta 3. pantā (attiecīgi 5. panta otrās daļas 2. punkta "c" apakšpunktā, 5. panta 4.</w:t>
            </w:r>
            <w:r w:rsidR="00000000" w:rsidRPr="00000000" w:rsidDel="00000000">
              <w:rPr>
                <w:sz w:val="24"/>
                <w:vertAlign w:val="superscript"/>
                <w:rtl w:val="0"/>
              </w:rPr>
              <w:t xml:space="preserve">1</w:t>
            </w:r>
            <w:r w:rsidR="00000000" w:rsidRPr="00000000" w:rsidDel="00000000">
              <w:rPr>
                <w:sz w:val="24"/>
                <w:rtl w:val="0"/>
              </w:rPr>
              <w:t xml:space="preserve"> daļā un 5. panta otras daļas 3. punktā), lai veicinātu sabiedrību konkurētspēju Eiropas Savienības finanšu tirgū.</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https://tapportals.mk.gov.lv/public_participation/37a1e806-8fce-4289-8012-d79ab320b782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23.12.2025. saņemti priekšlikumi no Latvijas Finanšu nozares asociācijas, kuros lūgts noteikt termiņu - 2026.gada 1. jūlijs - likuma 10.panta sestās daļas 1. un 12.punktā minēto nosacījumu izpildei attiecībā uz sabiedrībām, kuras jau ir licencētas, kā arī izteikts priekšlikums izvērtēt, vai saskaņā ar 10.panta vienpadsmito daļu visiem dokumentiem ir piemērojams vienots viena mēneša saskaņošanas termiņš. Tāpat arī Latvijas Finanšu nozares asociācija ir lūgusi precizēt 12.panta pirmās daļas 3.punktu, veicot tehnisku labojumu, kā arī lūgusi precizēt 13.panta 1.</w:t>
      </w:r>
      <w:r w:rsidR="00000000" w:rsidRPr="00000000" w:rsidDel="00000000">
        <w:rPr>
          <w:vertAlign w:val="superscript"/>
          <w:rtl w:val="0"/>
        </w:rPr>
        <w:t xml:space="preserve">4 </w:t>
      </w:r>
      <w:r w:rsidR="00000000" w:rsidRPr="00000000" w:rsidDel="00000000">
        <w:rPr>
          <w:rtl w:val="0"/>
        </w:rPr>
        <w:t xml:space="preserve">daļā minēto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iesniegtajiem priekšlikumiem anotācijai pievienots viedokļu apkopojums.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to, ka Likumprojekts paredz sabiedrībām iespēju sniegt jaunu pakalpojumu (etalonu administrēšanu), Latvijas Bankai būs jānodrošina šā jaunā pakalpojuma uzraudzība, ja tāds tiks sniegts.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25-TA-2105</w:t>
    </w:r>
    <w:r>
      <w:br/>
    </w:r>
    <w:r w:rsidR="00000000" w:rsidRPr="00000000" w:rsidDel="00000000">
      <w:rPr>
        <w:rtl w:val="0"/>
      </w:rPr>
      <w:t xml:space="preserve">Izdrukāts 29.07.2026. 23.47 - 5.0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25-TA-2105</w:t>
    </w:r>
    <w:r>
      <w:br/>
    </w:r>
    <w:r w:rsidR="00000000" w:rsidRPr="00000000" w:rsidDel="00000000">
      <w:rPr>
        <w:rtl w:val="0"/>
      </w:rPr>
      <w:t xml:space="preserve">Izdrukāts 29.07.2026. 23.47 - 5.0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anotācija_(ex_ante)_25-TA-2105.docx</dc:title>
</cp:coreProperties>
</file>

<file path=docProps/custom.xml><?xml version="1.0" encoding="utf-8"?>
<Properties xmlns="http://schemas.openxmlformats.org/officeDocument/2006/custom-properties" xmlns:vt="http://schemas.openxmlformats.org/officeDocument/2006/docPropsVTypes"/>
</file>