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pasākumā "Atzītu ražotāju organizāciju plānu īstenošana""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pasākumā "Atzītu ražotāju organizāciju plānu īstenošana"" (turpmāk – noteikumu projekts) ir sagatavots, pamatojoties uz Lauksaimniecības un lauku attīstības likuma 5. panta ceturto un septīto daļu, kā arī saskaņā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Regulu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regulu (ES) 2022/79, ar ko nosaka Eiropas Parlamenta un Padomes Regulas (ES) 2021/1139 piemērošanas noteikumus attiecībā uz darbības līmeņa īstenošanas datu reģistrēšanu, nosūtīšanu un izklāstu (turpmāk – regula 2022/79);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11. decembra Regulu (ES) Nr. 1379/2013 par zvejas un akvakultūras produktu tirgu kopīgo organizāciju un ar ko groza Padomes Regulas (EK) Nr. 1184/2006 un (EK) Nr. 1224/2009 un atceļ Padomes Regulu (EK) Nr. 104/2000 (turpmāk – regula Nr. 1379/2013).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janvārī Latvijas Republikā sākās jaunais 2021.–2027. gada Eiropas Jūrlietu, zvejniecības un akvakultūras fonda (turpmāk – EJZAF) plānošanas periods, kurā finansējuma piešķiršanu nosaka regulas 2021/1139, 2021/1060, 2022/79 un regula Nr.1379/2013. Noteikumu projekta mērķis ir noteikt kārtību, kādā piešķir un uzrauga valsts un Eiropas Savienības atbalstu Eiropas Jūrlietu, zvejniecības un akvakultūras fonda pasākumam "Atzītu ražotāju organizāciju plānu īstenošana".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janvārī sākās jaunais 2021.–2027. gada EJZAF plānošanas periods. Ir paredzēts sniegt atbalstu ražotāju organizāciju ražošanas un tirdzniecības plānu izstrādei un to īstenošanai, stiprinot kooperāciju un sadarbību visos piegādes ķēdes posmos, arī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atbalsta sniegšanu, noteikumu projektā paredzētais atbalsts tiks īstenots saskaņā ar regulas 2021/1060 63. panta 2. punktu, kas nosaka ka izdevumi ir attiecināmi no EJZAF, ja tie atbalsta saņēmējam radušies un apmaksāti darbību īstenošanas gaitā laikposmā no dienas, kad programma iesniegta Komisijai vai no 2021. gada 1. janvāra – atkarībā no tā, kurš no minētajiem datumiem ir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pasākuma "Atzītu ražotāju organizāciju plānu īstenošana" finansējuma saņemšanas nosacījumi, publiskā finansējuma apmērs, attiecināmās un neattiecināmās izmaksas, pieteikšanās kārtība un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sniegt atbalstu ražotāju organizāciju ražošanas un tirdzniecības plānu izstrādei un to īstenošanai, stiprinot kooperāciju un sadarbību visos piegādes ķēdes posmos, arī krīzes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 ir pasākuma atbalsta pretendenti. Ņemot vērā atbalsta pasākumam paredzēto finansējumu, mērķgrupā nevarētu būt vairāk kā 10 pretendentu. Mērķgrupas administratīvās izmaksas veido projekta iesnieguma aizpildīšana un nepieciešamo pavaddokumentu sagatavošana. Projekta iesnieguma un nepieciešamo pavaddokumentu sagatavošanai un informācijas apkopošanai vidēji nepieciešamais laiks vienam darbiniekam nepārsniedz 2 stundas. Pieņemot, ka vienas stundas darbaspēka izmaksas zivsaimniecībā ir 9,95 euro (avots – Centrālās statistikas pārvaldes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(f x l) x (n x b) = (9,95 x 2) x (10 x 1) = 199 </w:t>
      </w:r>
      <w:r w:rsidR="00000000" w:rsidRPr="00000000" w:rsidDel="00000000">
        <w:rPr>
          <w:i w:val="1"/>
          <w:rtl w:val="0"/>
        </w:rPr>
        <w:t xml:space="preserve">euro</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informācijas sniegšanas pienākuma radītās izmaksas jeb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finanšu līdzekļu apmērs, kas nepieciešams, lai nodrošinātu projektā paredzētā informācijas sniegšanas pienākuma izpildi (stundas samaksas likme, ieskaitot virsstundas vai stundas limitu ārējo pakalpojumu sniedzējiem,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laika patēriņš, kas nepieciešams, lai sagatavotu saskaņā ar projektu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subjektu skaits, uz ko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reižu skaits gada laikā, kad paredzēta informācijas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EJZAF Rīcības programmu zivsaimniecības attīstībai 2021.–2027. gadam atbalsta pasākums paredzēts zem 2. prioritātes Veicināt ilgtspējīgas akvakultūras darbības un zvejas un akvakultūras produktu apstrādi un tirdzniecību, tādējādi sekmējot pārtikas nodrošinājumu Savienībā, 2.2. Konkrētā mērķa Veicināt zvejas un akvakultūras produktu tirdzniecību, kvalitāti un pievienoto vērtību, kā arī minēto produktu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pasākumā "Atzītu ražotāju organizāciju plānu īstenošana" līdz 2029. gadam kopējais pieejamais finansējums ir 300 000 </w:t>
            </w:r>
            <w:r w:rsidR="00000000" w:rsidRPr="00000000" w:rsidDel="00000000">
              <w:rPr>
                <w:sz w:val="24"/>
                <w:i w:val="1"/>
                <w:rtl w:val="0"/>
              </w:rPr>
              <w:t xml:space="preserve">euro</w:t>
            </w:r>
            <w:r w:rsidR="00000000" w:rsidRPr="00000000" w:rsidDel="00000000">
              <w:rPr>
                <w:sz w:val="24"/>
                <w:rtl w:val="0"/>
              </w:rPr>
              <w:t xml:space="preserve">, t.sk. EJZAF finansējums (70 %) 210 000 </w:t>
            </w:r>
            <w:r w:rsidR="00000000" w:rsidRPr="00000000" w:rsidDel="00000000">
              <w:rPr>
                <w:sz w:val="24"/>
                <w:i w:val="1"/>
                <w:rtl w:val="0"/>
              </w:rPr>
              <w:t xml:space="preserve">euro</w:t>
            </w:r>
            <w:r w:rsidR="00000000" w:rsidRPr="00000000" w:rsidDel="00000000">
              <w:rPr>
                <w:sz w:val="24"/>
                <w:rtl w:val="0"/>
              </w:rPr>
              <w:t xml:space="preserve"> un valsts budžeta finansējums (30 %) 90 000 </w:t>
            </w:r>
            <w:r w:rsidR="00000000" w:rsidRPr="00000000" w:rsidDel="00000000">
              <w:rPr>
                <w:sz w:val="24"/>
                <w:i w:val="1"/>
                <w:rtl w:val="0"/>
              </w:rPr>
              <w:t xml:space="preserve">euro</w:t>
            </w:r>
            <w:r w:rsidR="00000000" w:rsidRPr="00000000" w:rsidDel="00000000">
              <w:rPr>
                <w:sz w:val="24"/>
                <w:rtl w:val="0"/>
              </w:rPr>
              <w:t xml:space="preserve">, ko plānots sadalīt vienādās daļās pa visiem astoņiem uz atbalstu attiecināmajiem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66.10.00. "Maksājumu iestādes izdevumi Eiropas Jūrlietu, zvejniecības un akvakultūras fonda (EJZAF) projektu un pasākumu īstenošanai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ZM normatīvajos aktos noteiktajā kārtībā pieprasīs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32022R0079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11. decembra Regula (ES) Nr. 1379/2013 par zvejas un akvakultūras produktu tirgu kopīgo organizāciju un ar ko groza Padomes Regulas (EK) Nr. 1184/2006 un (EK) Nr. 1224/2009 un atceļ Padomes Regulu (EK) Nr. 104/2000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11. decembra Regula (ES) Nr. 1379/2013 par zvejas un akvakultūras produktu tirgu kopīgo organizāciju un ar ko groza Padomes Regulas (EK) Nr. 1184/2006 un (EK) Nr. 1224/2009 un atceļ Padomes Regulu (EK) Nr. 104/2000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1379/2013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1379/2013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1379/2013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1379/2013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1379/2013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https://tapportals.mk.gov.lv/public_participations/59a5034c-382e-4adf-8445-753cbf225199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saņemts viens priekšlikums no Nacionālās zvejniecības ražotāju organizācijas.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un noteikumu projektā izdarīti precizējumi, ciktāl tie ir samērīgi un atbilstoši atbalsta fondu regulējošajiem normatīvajiem aktiem.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22-TA-1853</w:t>
    </w:r>
    <w:r>
      <w:br/>
    </w:r>
    <w:r w:rsidR="00000000" w:rsidRPr="00000000" w:rsidDel="00000000">
      <w:rPr>
        <w:rtl w:val="0"/>
      </w:rPr>
      <w:t xml:space="preserve">Izdrukāts 29.07.2026. 23.09 - 4.0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22-TA-1853</w:t>
    </w:r>
    <w:r>
      <w:br/>
    </w:r>
    <w:r w:rsidR="00000000" w:rsidRPr="00000000" w:rsidDel="00000000">
      <w:rPr>
        <w:rtl w:val="0"/>
      </w:rPr>
      <w:t xml:space="preserve">Izdrukāts 29.07.2026. 23.09 - 4.0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anotācija_(ex_ante)_22-TA-1853.docx</dc:title>
</cp:coreProperties>
</file>

<file path=docProps/custom.xml><?xml version="1.0" encoding="utf-8"?>
<Properties xmlns="http://schemas.openxmlformats.org/officeDocument/2006/custom-properties" xmlns:vt="http://schemas.openxmlformats.org/officeDocument/2006/docPropsVTypes"/>
</file>