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27. februāra rīkojumā Nr. 94 "Par informācijas sabiedrības attīstības pamatnostādņu ieviešanu publiskās pārvaldes informācijas sistēmu jomā (mērķarhitektūras 9.0 versija)""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“Grozījumi Ministru kabineta 2017. gada 27. februāra rīkojumā Nr. 94 “Par informācijas sabiedrības attīstības pamatnostādņu ieviešanu publiskās pārvaldes informācijas sistēmu jomā (mērķarhitektūras 9.0 versija)”” (turpmāk – rīkojuma projekts) ir izstrādāts pēc Labklājības ministrijas (turpmāk – LM) iniciatīvas,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Deklarācijas par Artura Krišjāņa Kariņa vadītā MK iecerēto darbību IV pasākuma “Moderna pārvaldība” 244. punktā minēto uzdevumu “Digitalizēsim un modernizēsim valsts un pašvaldību pārvaldes procesus, tai skaitā virzot vienotu valsts digitālo pakalpojumu atbalsta centra modeli, kas cels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2022. gada 21. jūnija sēdes protokola Nr. 33 81. § “Informatīvais ziņojums "Par darbības programmas  "Izaugsme un nodarbinātība" 2.2.1. specifiskā atbalsta mērķa "Nodrošināt publisko datu atkalizmantošanas pieaugumu un efektīvu publiskās pārvaldes un privātā sektora mijiedarbību" projektu īstenošanu un pieejamā finansējuma mērķtiecīgu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2022. gada 9. augusta rīkojumu Nr. 549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 – 2020. gada plānošanas periodam” (turpmāk – MK rīkojums</w:t>
      </w:r>
      <w:r w:rsidR="00000000" w:rsidRPr="00000000" w:rsidDel="00000000">
        <w:rPr>
          <w:b w:val="1"/>
          <w:rtl w:val="0"/>
        </w:rPr>
        <w:t xml:space="preserve"> </w:t>
      </w:r>
      <w:r w:rsidR="00000000" w:rsidRPr="00000000" w:rsidDel="00000000">
        <w:rPr>
          <w:rtl w:val="0"/>
        </w:rPr>
        <w:t xml:space="preserve">Nr. 549).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pagarināt Eiropas Reģionālās attīstības fonda (turpmāk – ERAF) līdzfinansētā projekta “Labklājības nozares informācijas un komunikācijas tehnoloģiju centralizācija” (turpmāk – IKTC projekts) īstenošanas termiņu par 15 mēnešiem, lai realizētu IKTC projektā plānotās darbības saskaņā ar IKTC projekta darbību īstenošanas laika plānu un IKTC projektam papildus piešķirto finansējumu 530 000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IKTC projekta apraksts (kopsavilkums) ir apstiprināts ar MK 2017. gada 27. februāra rīkojumu Nr. 94 “Par informācijas sabiedrības attīstības pamatnostādņu ieviešanu publiskās pārvaldes informācijas sistēmu jomā (mērķarhitektūras 9.0 versija)” (turpmāk – MK rīkojums Nr. 94), nosakot IKTC projekta darbības, īstenošanas laiku un finansējuma kopējo apjomu. Ar MK 2020. gada 20. maija rīkojumu Nr. 275 “Grozījumi Ministru kabineta 2017. gada 27. februāra rīkojumā Nr. 94 “Par informācijas sabiedrības attīstības pamatnostādņu ieviešanu publiskās pārvaldes informācijas sistēmu jomā (merķarhitektūras 9.0 versija)” izdarīti grozījumi IKTC projekta kopējo izmaksu summā un apstiprināts jaunā redakcijā IKTC projekta apraksts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Nr. 2.2.1.1/17/I/007 starp LM un Centrālo finanšu un līgumu aģentūru (turpmāk - CFLA) par IKTC projekta īstenošanu (turpmāk – Vienošanās) noslēgta 2018. gada 18.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rīkojumam Nr. 94 un Vienošanās nosacījumiem (Vienošanās 2022. gada 12. aprīļa grozījumi Nr. 6) IKTC projekta kopējās izmaksas ir 3 600 000 </w:t>
      </w:r>
      <w:r w:rsidR="00000000" w:rsidRPr="00000000" w:rsidDel="00000000">
        <w:rPr>
          <w:i w:val="1"/>
          <w:rtl w:val="0"/>
        </w:rPr>
        <w:t xml:space="preserve">euro</w:t>
      </w:r>
      <w:r w:rsidR="00000000" w:rsidRPr="00000000" w:rsidDel="00000000">
        <w:rPr>
          <w:rtl w:val="0"/>
        </w:rPr>
        <w:t xml:space="preserve">, īstenošanas laiks - 56 mēneši, tas ir līdz 2022. gada 17.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IKTC projektā ir iekļauta darbība, kas paredz Valsts sociālās apdrošināšanas aģentūras datu centrā izvietoto informācijas sistēmu migrāciju uz ārpakalpojuma datu centru, tas ir Valsts elektronisko sakaru pakalpojumu centru (turpmāk – VESPC). Taču, veicot labklājības nozares IKT centralizāciju, uz VESPC ir nepieciešams nomigrēt visas labklājības nozares nozīmīgākās biznesa sistēmas un ar tām saistītās atbalsta informācijas sistēmas. To nav iespējams izdarīt pašreiz apstiprinātā IKTC projekta finansējuma apjoma un kopējā īstenošanas termiņa ietvaros, tas ir līdz 2022. gada 17.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21. jūnija sēdē tika pieņemts lēmums (protokols Nr. 33 81. §) atbalstīt Vides aizsardzības un reģionālās attīstības ministrijas (turpmāk – VARAM) ierosinājumu novirzīt darbības programmas “Izaugsme un nodarbinātība” 2.2.1. specifiskā atbalsta mērķa “Nodrošināt publisko datu atkalizmantošanas pieaugumu un efektīvu publiskās pārvaldes un privātā sektora mijiedarbību” (turpmāk – SAM 2.2.1.) ietaupīto finansējumu SAM 2.2.1. 2.2.1.1. pasākuma “Centralizētu publiskās pārvaldes IKT platformu izveide, publiskās pārvaldes procesu optimizēšana un attīstība” ietvaros īstenotajam LM IKTC projektam, palielinot tā finansējumu par 530 000 </w:t>
      </w:r>
      <w:r w:rsidR="00000000" w:rsidRPr="00000000" w:rsidDel="00000000">
        <w:rPr>
          <w:i w:val="1"/>
          <w:rtl w:val="0"/>
        </w:rPr>
        <w:t xml:space="preserve">euro</w:t>
      </w:r>
      <w:r w:rsidR="00000000" w:rsidRPr="00000000" w:rsidDel="00000000">
        <w:rPr>
          <w:rtl w:val="0"/>
        </w:rPr>
        <w:t xml:space="preserve"> papildu darbību veikšanai un pagarinot kopējo īstenošanas termiņu līdz 2023. gada beigām (par 15 mēnešiem), jo IKTC projekta informācijas sistēmu migrācijas aktivitātes var uzsākt nekavējoties un IKTC projektu (tai skaitā attiecīgās papildu darbības) pilnā apmērā var pabeigt līdz 2023. gada 17.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549 IKTC projektam pieejamā finansējuma apjoms palielināts par 530 000 </w:t>
      </w:r>
      <w:r w:rsidR="00000000" w:rsidRPr="00000000" w:rsidDel="00000000">
        <w:rPr>
          <w:i w:val="1"/>
          <w:rtl w:val="0"/>
        </w:rPr>
        <w:t xml:space="preserve">euro</w:t>
      </w:r>
      <w:r w:rsidR="00000000" w:rsidRPr="00000000" w:rsidDel="00000000">
        <w:rPr>
          <w:rtl w:val="0"/>
        </w:rPr>
        <w:t xml:space="preserve">, t.i. no 3 600 000 </w:t>
      </w:r>
      <w:r w:rsidR="00000000" w:rsidRPr="00000000" w:rsidDel="00000000">
        <w:rPr>
          <w:i w:val="1"/>
          <w:rtl w:val="0"/>
        </w:rPr>
        <w:t xml:space="preserve">euro</w:t>
      </w:r>
      <w:r w:rsidR="00000000" w:rsidRPr="00000000" w:rsidDel="00000000">
        <w:rPr>
          <w:rtl w:val="0"/>
        </w:rPr>
        <w:t xml:space="preserve"> uz 4 130 000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lēmumu rezultātā, palielinot IKTC projekta finansējumu par 530 000 </w:t>
      </w:r>
      <w:r w:rsidR="00000000" w:rsidRPr="00000000" w:rsidDel="00000000">
        <w:rPr>
          <w:i w:val="1"/>
          <w:rtl w:val="0"/>
        </w:rPr>
        <w:t xml:space="preserve">euro</w:t>
      </w:r>
      <w:r w:rsidR="00000000" w:rsidRPr="00000000" w:rsidDel="00000000">
        <w:rPr>
          <w:rtl w:val="0"/>
        </w:rPr>
        <w:t xml:space="preserve"> un pagarinot kopējo IKTC projekta īstenošanas termiņu par 15 mēnešiem (no 56 mēnešiem uz 71 mēnesi, tas ir līdz 2023. gada 17. decembrim), tiks īstenotas ar labklājības nozares nozīmīgāko informācijas sistēmu un ar tām saistīto atbalsta informācijas sistēmu, un datņu serveru migrāciju uz VESPC saistītas darbības (ņemot vērā VARAM IKT konsolidācijas politikā noteikto principu par valsts nozīmes datu centru pakalpojumu izmantošanu), samazinot informācijas sistēmu darbības pārtraukumu riskus un paaugstinot drošību un atbilstību strauji augošajām informācijas sistēmu veiktspējas un drošības prasībām, kam pašreizējā ģeopolitiskajā situācijā ir īpaša nozīme.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veic valsts noteikto funkciju, un līdz ar to IKTC projekta finansējums netiks sniegts saimnieciskās darbības veikšanai un attiecīgi nav jāpiemēro valsts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veikt MK rīkojumā Nr. 94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1. punktā IKTC projekta izmaksas no 3 600 000 </w:t>
      </w:r>
      <w:r w:rsidR="00000000" w:rsidRPr="00000000" w:rsidDel="00000000">
        <w:rPr>
          <w:i w:val="1"/>
          <w:rtl w:val="0"/>
        </w:rPr>
        <w:t xml:space="preserve">euro</w:t>
      </w:r>
      <w:r w:rsidR="00000000" w:rsidRPr="00000000" w:rsidDel="00000000">
        <w:rPr>
          <w:rtl w:val="0"/>
        </w:rPr>
        <w:t xml:space="preserve"> uz 4 130 000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5. punktu, norādot IKTC projekta rezultātu uzturēšanas izmaksas pēc IKTC projekta pabeigšanas 2024. gadam, 2025. gadam, 2026. gadam un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6. punktu par IKTC projekta konsolidētā apraksta (kopsavilkuma) atbalstīšanu.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veikti šādi būtiskākie grozījumi IKTC projekta aprakstā (kopsavilkumā):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sadaļas “Darbības projekta mērķu sasniegšanai” 2. punkts "Centralizēti koplietošanas risinājumi IKT pakalpojumu attīstībai" ar trīs jaunām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LM reģionālā datu tīkla augstas pieejamības un kapacitātes savienojums ar VESPC datu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Informācijas sistēmu migrācija uz centralizētu “mākoņskaitļošanas” risinājumu VESPC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tehnoloģiju resursu pārvaldības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Aktualizēta sadaļa “Projekta rezultāta rādītāji”, precizējot IKTC projekta rezultāta rādītāja “Iestāžu skaits, kuras izmanto labklājības nozares informācijas un komunikācijas tehnoloģiju centralizētos pakalpojumus” vērtību no “12” uz “11”, palielinot rezultāta rādītāja “Labklājības ministrijas centralizētās informācijas un komunikācijas tehnoloģiju infrastruktūras nepārtraukta darbība” vērtību no “97” uz “99,5”, kā arī izkļaujot rezultāta rādītājus “RR3 Komersantu īpatsvars, kas izmanto VDI e-pakalpojumu “Darba devēja paziņojums par novērstiem pārkāpumiem” un “RR4 Iedzīvotāju īpatsvars, kas izmanto VDI e-pakalpojumu “Iesniegums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Aktualizēta sadaļa “Projekta iznākuma rādītāji”, precizējot IKTC projekta iznākuma rādītāju skaitliskās vērtības, papildinot ar trīs jauniem iznākuma rādītājiem: “Veikta labklājības nozares migrācija uz VESPC datu centra infrastruktūru”, “Veikta datu pārraides tīkla infrastruktūras uzlabošana un mezgla Krišjāņa Valdemāra ielā 38, k-1, Rīgā, pārvietošana uz VESPC datu centru”, “Ieviesta IKT resursu pārvaldības sistēma”, kā arī izkļaujot iznākuma rādītāju “Izstrādātas apmācību programmas un apmācīti labklājības nozares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sadaļa “Ieguldījums SAM rezultāta rādītāju sasniegšanā”, palielinot pirmā rādītāja “Pilnveidoti nozares darbības procesi” sasniedzamo vērtību projekta beigās no 11 uz 12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Aktualizēta sadaļa “Sociālekonomiskais indikatīvais lietderīgums”, papildinot un precizējot informāciju par galvenajiem sociālekonomiskajiem ieguvumiem, precizējot sociālekonomiskā lietderīguma aprēķinus, IKTC projekta īstenošanas termiņu, finansējuma apjomu un IKTC projekta uzturēšanas izmaksas pēc IKTC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IKTC projekta rezultatīvos rādītājus, ņemtas vērā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projektu iesniegumu atlases nolikuma prasības un projekta iesnieguma vērtēšanas kritēriji. LM iesniegs CFLA kā sadarbības iestādei attiecīgus grozījumus IKTC projekta iesniegumā. Plānotie grozījumi Vienošanās par IKT projekta īstenošanu nav uzskatāmi par būtiskām izmaiņām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Detalizētais IKTC projekta apraksts saskaņots ar VARAM 2022. gada 17. augustā (VARAM 2022. gada 17. augusta vēstule Nr. 11-2/5817 “Par grozījumiem projekta “Labklājības nozares informācijas un komunikācijas tehnoloģiju centralizācija” detalizētajā aprakstā”).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veikta izmaksu un ieguvumu analīze. Rīkojuma projekta ietekme atspoguļota IKTC projekta konsolidētā apraksta (kopsavilkuma) sadaļā “Sociālekonomiskais indikatīvais lietderīgums".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Migrējot labklājības nozares nozīmīgākās informācijas sistēmas un ar tām saistītās atbalsta informācijas sistēmas, un datņu serverus uz VESPC, tiks samazināti informācijas sistēmu darbības pārtraukumu riski un paaugstināta drošība un atbilstība strauji augošajām informācijas sistēmu veiktspējas un drošības prasībām. Netiešā veidā var tikt ietekmēta jebkura fiziskā persona, kura saņem labklājības nozares iestāžu sniegtos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IKTC projektā dažādus grozījumus (būtiskākie ir finansējuma palielinājums, jaunas darbības, īstenošana termiņa pagarinājums), līdz ar to LM kā finansējuma saņēmējam jāsagatavo un jāiesniedz CFLA kā sadarbības iestādei attiecīgus grozījumus IKTC projekta iesniegumā, lai varētu tikt sagatavoti Vienošanās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Migrējot labklājības nozares nozīmīgākās informācijas sistēmas un ar tām saistītās atbalsta informācijas sistēmas, un datņu serverus uz VESPC, tiks samazināti informācijas sistēmu darbības pārtraukumu riski un paaugstināta drošība un atbilstība strauji augošajām informācijas sistēmu veiktspējas un drošības prasībām. Netiešā veidā var tikt ietekmēta jebkura juridiskā persona, kura saņem labklājības nozares iestāžu sniegtos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1 347 329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1 031 639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1 585 093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1 213 693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1 585 093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1 213 693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-182 054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palielināt valsts pamatbudžeta programmas 62.00.00 “Eiropas Reģionālās attīstības fonda (ERAF) projektu un pasākumu īstenošana” apakšprogrammas 62.07.00 “Eiropas Reģionālās attīstības fonda (ERAF) īstenotie projekti labklājības nozarē (2014-2020)” IKTC projekta (Nr. 2.2.1.1/17/I/007) pieejamo kopējo finansējumu par 530 000 </w:t>
            </w:r>
            <w:r w:rsidR="00000000" w:rsidRPr="00000000" w:rsidDel="00000000">
              <w:rPr>
                <w:sz w:val="24"/>
                <w:i w:val="1"/>
                <w:rtl w:val="0"/>
              </w:rPr>
              <w:t xml:space="preserve">euro</w:t>
            </w:r>
            <w:r w:rsidR="00000000" w:rsidRPr="00000000" w:rsidDel="00000000">
              <w:rPr>
                <w:sz w:val="24"/>
                <w:rtl w:val="0"/>
              </w:rPr>
              <w:t xml:space="preserve">, līdz ar to pēc rīkojuma projekta spēkā stāšanās dienas IKTC projektam pieejamais kopējais finansējums būs 4 130 000 </w:t>
            </w:r>
            <w:r w:rsidR="00000000" w:rsidRPr="00000000" w:rsidDel="00000000">
              <w:rPr>
                <w:sz w:val="24"/>
                <w:i w:val="1"/>
                <w:rtl w:val="0"/>
              </w:rPr>
              <w:t xml:space="preserve">euro</w:t>
            </w:r>
            <w:r w:rsidR="00000000" w:rsidRPr="00000000" w:rsidDel="00000000">
              <w:rPr>
                <w:sz w:val="24"/>
                <w:rtl w:val="0"/>
              </w:rPr>
              <w:t xml:space="preserve">, t.sk. ERAF finansējums – 3 510 500 </w:t>
            </w:r>
            <w:r w:rsidR="00000000" w:rsidRPr="00000000" w:rsidDel="00000000">
              <w:rPr>
                <w:sz w:val="24"/>
                <w:i w:val="1"/>
                <w:rtl w:val="0"/>
              </w:rPr>
              <w:t xml:space="preserve">euro</w:t>
            </w:r>
            <w:r w:rsidR="00000000" w:rsidRPr="00000000" w:rsidDel="00000000">
              <w:rPr>
                <w:sz w:val="24"/>
                <w:rtl w:val="0"/>
              </w:rPr>
              <w:t xml:space="preserve"> un valsts budžeta finansējums – 619 500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 gadā kopējais faktiskais investētais finansējums (atbilstoši Valsts kases izdrukai) 74 532 </w:t>
            </w:r>
            <w:r w:rsidR="00000000" w:rsidRPr="00000000" w:rsidDel="00000000">
              <w:rPr>
                <w:sz w:val="24"/>
                <w:i w:val="1"/>
                <w:rtl w:val="0"/>
              </w:rPr>
              <w:t xml:space="preserve">euro</w:t>
            </w:r>
            <w:r w:rsidR="00000000" w:rsidRPr="00000000" w:rsidDel="00000000">
              <w:rPr>
                <w:sz w:val="24"/>
                <w:rtl w:val="0"/>
              </w:rPr>
              <w:t xml:space="preserve">, t.sk. ERAF finansējums 63 352 </w:t>
            </w:r>
            <w:r w:rsidR="00000000" w:rsidRPr="00000000" w:rsidDel="00000000">
              <w:rPr>
                <w:sz w:val="24"/>
                <w:i w:val="1"/>
                <w:rtl w:val="0"/>
              </w:rPr>
              <w:t xml:space="preserve">euro</w:t>
            </w:r>
            <w:r w:rsidR="00000000" w:rsidRPr="00000000" w:rsidDel="00000000">
              <w:rPr>
                <w:sz w:val="24"/>
                <w:rtl w:val="0"/>
              </w:rPr>
              <w:t xml:space="preserve"> un valsts budžeta finansējums 11 180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 gadā kopējais faktiskais investētais finansējums (atbilstoši Valsts kases izdrukai) 165 804 </w:t>
            </w:r>
            <w:r w:rsidR="00000000" w:rsidRPr="00000000" w:rsidDel="00000000">
              <w:rPr>
                <w:sz w:val="24"/>
                <w:i w:val="1"/>
                <w:rtl w:val="0"/>
              </w:rPr>
              <w:t xml:space="preserve">euro</w:t>
            </w:r>
            <w:r w:rsidR="00000000" w:rsidRPr="00000000" w:rsidDel="00000000">
              <w:rPr>
                <w:sz w:val="24"/>
                <w:rtl w:val="0"/>
              </w:rPr>
              <w:t xml:space="preserve"> apmērā, t.sk. ERAF finansējums 140 934 </w:t>
            </w:r>
            <w:r w:rsidR="00000000" w:rsidRPr="00000000" w:rsidDel="00000000">
              <w:rPr>
                <w:sz w:val="24"/>
                <w:i w:val="1"/>
                <w:rtl w:val="0"/>
              </w:rPr>
              <w:t xml:space="preserve">euro</w:t>
            </w:r>
            <w:r w:rsidR="00000000" w:rsidRPr="00000000" w:rsidDel="00000000">
              <w:rPr>
                <w:sz w:val="24"/>
                <w:rtl w:val="0"/>
              </w:rPr>
              <w:t xml:space="preserve"> un valsts budžeta finansējums 24 870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 gadā kopējais faktiskais investētais finansējums (atbilstoši Valsts kases izdrukai) 578 113 </w:t>
            </w:r>
            <w:r w:rsidR="00000000" w:rsidRPr="00000000" w:rsidDel="00000000">
              <w:rPr>
                <w:sz w:val="24"/>
                <w:i w:val="1"/>
                <w:rtl w:val="0"/>
              </w:rPr>
              <w:t xml:space="preserve">euro</w:t>
            </w:r>
            <w:r w:rsidR="00000000" w:rsidRPr="00000000" w:rsidDel="00000000">
              <w:rPr>
                <w:sz w:val="24"/>
                <w:rtl w:val="0"/>
              </w:rPr>
              <w:t xml:space="preserve"> apmērā, t.sk. ERAF finansējums 491 396 </w:t>
            </w:r>
            <w:r w:rsidR="00000000" w:rsidRPr="00000000" w:rsidDel="00000000">
              <w:rPr>
                <w:sz w:val="24"/>
                <w:i w:val="1"/>
                <w:rtl w:val="0"/>
              </w:rPr>
              <w:t xml:space="preserve">euro</w:t>
            </w:r>
            <w:r w:rsidR="00000000" w:rsidRPr="00000000" w:rsidDel="00000000">
              <w:rPr>
                <w:sz w:val="24"/>
                <w:rtl w:val="0"/>
              </w:rPr>
              <w:t xml:space="preserve"> un valsts budžeta finansējums 86 717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gadā kopējais faktiskais investētais finansējums (atbilstoši Valsts kases izdrukai) 512 765 </w:t>
            </w:r>
            <w:r w:rsidR="00000000" w:rsidRPr="00000000" w:rsidDel="00000000">
              <w:rPr>
                <w:sz w:val="24"/>
                <w:i w:val="1"/>
                <w:rtl w:val="0"/>
              </w:rPr>
              <w:t xml:space="preserve">euro</w:t>
            </w:r>
            <w:r w:rsidR="00000000" w:rsidRPr="00000000" w:rsidDel="00000000">
              <w:rPr>
                <w:sz w:val="24"/>
                <w:rtl w:val="0"/>
              </w:rPr>
              <w:t xml:space="preserve"> apmērā, t.sk. ERAF finansējums 435 850 </w:t>
            </w:r>
            <w:r w:rsidR="00000000" w:rsidRPr="00000000" w:rsidDel="00000000">
              <w:rPr>
                <w:sz w:val="24"/>
                <w:i w:val="1"/>
                <w:rtl w:val="0"/>
              </w:rPr>
              <w:t xml:space="preserve">euro</w:t>
            </w:r>
            <w:r w:rsidR="00000000" w:rsidRPr="00000000" w:rsidDel="00000000">
              <w:rPr>
                <w:sz w:val="24"/>
                <w:rtl w:val="0"/>
              </w:rPr>
              <w:t xml:space="preserve"> un valsts budžeta finansējums 76 915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saskaņā ar likumu „Par valsts budžetu 2022. gadam” un saskaņā ar likumu “Par vidēja termiņa budžeta ietvaru 2022., 2023. un 2024. gadam” IKTC projektam apstiprināts finansējums 272 554 </w:t>
            </w:r>
            <w:r w:rsidR="00000000" w:rsidRPr="00000000" w:rsidDel="00000000">
              <w:rPr>
                <w:sz w:val="24"/>
                <w:i w:val="1"/>
                <w:rtl w:val="0"/>
              </w:rPr>
              <w:t xml:space="preserve">euro</w:t>
            </w:r>
            <w:r w:rsidR="00000000" w:rsidRPr="00000000" w:rsidDel="00000000">
              <w:rPr>
                <w:sz w:val="24"/>
                <w:rtl w:val="0"/>
              </w:rPr>
              <w:t xml:space="preserve"> apmērā, t.sk. ERAF finansējums 231 671 </w:t>
            </w:r>
            <w:r w:rsidR="00000000" w:rsidRPr="00000000" w:rsidDel="00000000">
              <w:rPr>
                <w:sz w:val="24"/>
                <w:i w:val="1"/>
                <w:rtl w:val="0"/>
              </w:rPr>
              <w:t xml:space="preserve">euro</w:t>
            </w:r>
            <w:r w:rsidR="00000000" w:rsidRPr="00000000" w:rsidDel="00000000">
              <w:rPr>
                <w:sz w:val="24"/>
                <w:rtl w:val="0"/>
              </w:rPr>
              <w:t xml:space="preserve"> un valsts budžeta finansējums 40 883 </w:t>
            </w:r>
            <w:r w:rsidR="00000000" w:rsidRPr="00000000" w:rsidDel="00000000">
              <w:rPr>
                <w:sz w:val="24"/>
                <w:i w:val="1"/>
                <w:rtl w:val="0"/>
              </w:rPr>
              <w:t xml:space="preserve">euro</w:t>
            </w:r>
            <w:r w:rsidR="00000000" w:rsidRPr="00000000" w:rsidDel="00000000">
              <w:rPr>
                <w:sz w:val="24"/>
                <w:rtl w:val="0"/>
              </w:rPr>
              <w:t xml:space="preserve">. Savukārt atbilstoši Finanšu ministrijas 2022. gada 28. janvāra rīkojumam Nr. 58 “Par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līdzekļu pārdali 2022.gadā” palielināta apropriācija par 1 312 539 </w:t>
            </w:r>
            <w:r w:rsidR="00000000" w:rsidRPr="00000000" w:rsidDel="00000000">
              <w:rPr>
                <w:sz w:val="24"/>
                <w:i w:val="1"/>
                <w:rtl w:val="0"/>
              </w:rPr>
              <w:t xml:space="preserve">euro</w:t>
            </w:r>
            <w:r w:rsidR="00000000" w:rsidRPr="00000000" w:rsidDel="00000000">
              <w:rPr>
                <w:sz w:val="24"/>
                <w:rtl w:val="0"/>
              </w:rPr>
              <w:t xml:space="preserve">, t.sk. ERAF finansējums 1 115 658 </w:t>
            </w:r>
            <w:r w:rsidR="00000000" w:rsidRPr="00000000" w:rsidDel="00000000">
              <w:rPr>
                <w:sz w:val="24"/>
                <w:i w:val="1"/>
                <w:rtl w:val="0"/>
              </w:rPr>
              <w:t xml:space="preserve">euro</w:t>
            </w:r>
            <w:r w:rsidR="00000000" w:rsidRPr="00000000" w:rsidDel="00000000">
              <w:rPr>
                <w:sz w:val="24"/>
                <w:rtl w:val="0"/>
              </w:rPr>
              <w:t xml:space="preserve"> un valsts budžeta finansējums 196 881 </w:t>
            </w:r>
            <w:r w:rsidR="00000000" w:rsidRPr="00000000" w:rsidDel="00000000">
              <w:rPr>
                <w:sz w:val="24"/>
                <w:i w:val="1"/>
                <w:rtl w:val="0"/>
              </w:rPr>
              <w:t xml:space="preserve">euro</w:t>
            </w:r>
            <w:r w:rsidR="00000000" w:rsidRPr="00000000" w:rsidDel="00000000">
              <w:rPr>
                <w:sz w:val="24"/>
                <w:rtl w:val="0"/>
              </w:rPr>
              <w:t xml:space="preserve">. Līdz ar to projektam pieejamais finansējums 2022. gadā veido 1 585 093 </w:t>
            </w:r>
            <w:r w:rsidR="00000000" w:rsidRPr="00000000" w:rsidDel="00000000">
              <w:rPr>
                <w:sz w:val="24"/>
                <w:i w:val="1"/>
                <w:rtl w:val="0"/>
              </w:rPr>
              <w:t xml:space="preserve">euro</w:t>
            </w:r>
            <w:r w:rsidR="00000000" w:rsidRPr="00000000" w:rsidDel="00000000">
              <w:rPr>
                <w:sz w:val="24"/>
                <w:rtl w:val="0"/>
              </w:rPr>
              <w:t xml:space="preserve"> apmērā, t.sk. ERAF finansējums 1 347 329 </w:t>
            </w:r>
            <w:r w:rsidR="00000000" w:rsidRPr="00000000" w:rsidDel="00000000">
              <w:rPr>
                <w:sz w:val="24"/>
                <w:i w:val="1"/>
                <w:rtl w:val="0"/>
              </w:rPr>
              <w:t xml:space="preserve">euro</w:t>
            </w:r>
            <w:r w:rsidR="00000000" w:rsidRPr="00000000" w:rsidDel="00000000">
              <w:rPr>
                <w:sz w:val="24"/>
                <w:rtl w:val="0"/>
              </w:rPr>
              <w:t xml:space="preserve"> un valsts budžeta finansējums 237 764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šobrīd IKTC projektam apstiprināto kopējo finansējumu, kas noteikts 3 600 000 </w:t>
            </w:r>
            <w:r w:rsidR="00000000" w:rsidRPr="00000000" w:rsidDel="00000000">
              <w:rPr>
                <w:sz w:val="24"/>
                <w:i w:val="1"/>
                <w:rtl w:val="0"/>
              </w:rPr>
              <w:t xml:space="preserve">euro</w:t>
            </w:r>
            <w:r w:rsidR="00000000" w:rsidRPr="00000000" w:rsidDel="00000000">
              <w:rPr>
                <w:sz w:val="24"/>
                <w:rtl w:val="0"/>
              </w:rPr>
              <w:t xml:space="preserve"> apmērā, t.sk. ERAF finansējums 3 060 000 </w:t>
            </w:r>
            <w:r w:rsidR="00000000" w:rsidRPr="00000000" w:rsidDel="00000000">
              <w:rPr>
                <w:sz w:val="24"/>
                <w:i w:val="1"/>
                <w:rtl w:val="0"/>
              </w:rPr>
              <w:t xml:space="preserve">euro</w:t>
            </w:r>
            <w:r w:rsidR="00000000" w:rsidRPr="00000000" w:rsidDel="00000000">
              <w:rPr>
                <w:sz w:val="24"/>
                <w:rtl w:val="0"/>
              </w:rPr>
              <w:t xml:space="preserve"> un valsts budžeta finansējums 540 000 </w:t>
            </w:r>
            <w:r w:rsidR="00000000" w:rsidRPr="00000000" w:rsidDel="00000000">
              <w:rPr>
                <w:sz w:val="24"/>
                <w:i w:val="1"/>
                <w:rtl w:val="0"/>
              </w:rPr>
              <w:t xml:space="preserve">euro</w:t>
            </w:r>
            <w:r w:rsidR="00000000" w:rsidRPr="00000000" w:rsidDel="00000000">
              <w:rPr>
                <w:sz w:val="24"/>
                <w:rtl w:val="0"/>
              </w:rPr>
              <w:t xml:space="preserve">, 2022. gada budžetā nav iestrādāts finansējums 683 693 </w:t>
            </w:r>
            <w:r w:rsidR="00000000" w:rsidRPr="00000000" w:rsidDel="00000000">
              <w:rPr>
                <w:sz w:val="24"/>
                <w:i w:val="1"/>
                <w:rtl w:val="0"/>
              </w:rPr>
              <w:t xml:space="preserve">euro</w:t>
            </w:r>
            <w:r w:rsidR="00000000" w:rsidRPr="00000000" w:rsidDel="00000000">
              <w:rPr>
                <w:sz w:val="24"/>
                <w:rtl w:val="0"/>
              </w:rPr>
              <w:t xml:space="preserve"> apmērā, t.sk. ERAF finansējums 581 139 </w:t>
            </w:r>
            <w:r w:rsidR="00000000" w:rsidRPr="00000000" w:rsidDel="00000000">
              <w:rPr>
                <w:sz w:val="24"/>
                <w:i w:val="1"/>
                <w:rtl w:val="0"/>
              </w:rPr>
              <w:t xml:space="preserve">euro</w:t>
            </w:r>
            <w:r w:rsidR="00000000" w:rsidRPr="00000000" w:rsidDel="00000000">
              <w:rPr>
                <w:sz w:val="24"/>
                <w:rtl w:val="0"/>
              </w:rPr>
              <w:t xml:space="preserve"> un valsts budžeta finansējums 102 554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IKTC projektā plānoto aktivitāšu prognozētajam grafikam, 2022. gada budžetā neiestrādātais finansējums būs nepieciešams 2023. gadā, līdz ar to, pēc rīkojuma projekta spēkā stāšanās, palielinot IKTC projektam pieejamo kopējo finansējumu par 530 000 </w:t>
            </w:r>
            <w:r w:rsidR="00000000" w:rsidRPr="00000000" w:rsidDel="00000000">
              <w:rPr>
                <w:sz w:val="24"/>
                <w:i w:val="1"/>
                <w:rtl w:val="0"/>
              </w:rPr>
              <w:t xml:space="preserve">euro</w:t>
            </w:r>
            <w:r w:rsidR="00000000" w:rsidRPr="00000000" w:rsidDel="00000000">
              <w:rPr>
                <w:sz w:val="24"/>
                <w:rtl w:val="0"/>
              </w:rPr>
              <w:t xml:space="preserve">, t.sk. ERAF finansējums 450 500 </w:t>
            </w:r>
            <w:r w:rsidR="00000000" w:rsidRPr="00000000" w:rsidDel="00000000">
              <w:rPr>
                <w:sz w:val="24"/>
                <w:i w:val="1"/>
                <w:rtl w:val="0"/>
              </w:rPr>
              <w:t xml:space="preserve">euro</w:t>
            </w:r>
            <w:r w:rsidR="00000000" w:rsidRPr="00000000" w:rsidDel="00000000">
              <w:rPr>
                <w:sz w:val="24"/>
                <w:rtl w:val="0"/>
              </w:rPr>
              <w:t xml:space="preserve"> un valsts budžeta finansējums 79 500 </w:t>
            </w:r>
            <w:r w:rsidR="00000000" w:rsidRPr="00000000" w:rsidDel="00000000">
              <w:rPr>
                <w:sz w:val="24"/>
                <w:i w:val="1"/>
                <w:rtl w:val="0"/>
              </w:rPr>
              <w:t xml:space="preserve">euro</w:t>
            </w:r>
            <w:r w:rsidR="00000000" w:rsidRPr="00000000" w:rsidDel="00000000">
              <w:rPr>
                <w:sz w:val="24"/>
                <w:rtl w:val="0"/>
              </w:rPr>
              <w:t xml:space="preserve">, IKTC projektam pieejamais kopējais finansējums 2023. gadam plānots indikatīvi 1 213 693 </w:t>
            </w:r>
            <w:r w:rsidR="00000000" w:rsidRPr="00000000" w:rsidDel="00000000">
              <w:rPr>
                <w:sz w:val="24"/>
                <w:i w:val="1"/>
                <w:rtl w:val="0"/>
              </w:rPr>
              <w:t xml:space="preserve">euro</w:t>
            </w:r>
            <w:r w:rsidR="00000000" w:rsidRPr="00000000" w:rsidDel="00000000">
              <w:rPr>
                <w:sz w:val="24"/>
                <w:rtl w:val="0"/>
              </w:rPr>
              <w:t xml:space="preserve"> apmērā, t.sk. ERAF finansējums 1 031 639 </w:t>
            </w:r>
            <w:r w:rsidR="00000000" w:rsidRPr="00000000" w:rsidDel="00000000">
              <w:rPr>
                <w:sz w:val="24"/>
                <w:i w:val="1"/>
                <w:rtl w:val="0"/>
              </w:rPr>
              <w:t xml:space="preserve">euro</w:t>
            </w:r>
            <w:r w:rsidR="00000000" w:rsidRPr="00000000" w:rsidDel="00000000">
              <w:rPr>
                <w:sz w:val="24"/>
                <w:rtl w:val="0"/>
              </w:rPr>
              <w:t xml:space="preserve"> un valsts budžeta finansējums 182 054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IKTC projekta īstenošanai 2023. gadam papildu nepieciešamo finansējumu LM normatīvajos aktos noteiktajā kārtībā lūgs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IKTC projekta rezultātā izveidoto risinājumu ilgtspējas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IKTC projekta ietvaros tiks veikta informācijas tehnoloģiju sistēmu migrācija uz VESPC datu centru, tad pēc IKTC projekta beigām būs nepieciešams finansējums, lai segtu VESPC datu centra pakalpojumu izmaksas, kā arī izmaksas IKTC projekta ietvaros izveidoto informācijas un komunikācijas tehnoloģiju drošības, uzraudzības un informācijas un komunikācijas tehnoloģiju resursu pārvaldības risinājumu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IKTC projekta pabeigšanas IKTC projekta rezultātu uzturēšanas indikatīvās izmaksas 2024. gadā paredzētas 293 559 </w:t>
            </w:r>
            <w:r w:rsidR="00000000" w:rsidRPr="00000000" w:rsidDel="00000000">
              <w:rPr>
                <w:sz w:val="24"/>
                <w:i w:val="1"/>
                <w:rtl w:val="0"/>
              </w:rPr>
              <w:t xml:space="preserve">euro</w:t>
            </w:r>
            <w:r w:rsidR="00000000" w:rsidRPr="00000000" w:rsidDel="00000000">
              <w:rPr>
                <w:sz w:val="24"/>
                <w:rtl w:val="0"/>
              </w:rPr>
              <w:t xml:space="preserve">, 2025. gadā 313 559 </w:t>
            </w:r>
            <w:r w:rsidR="00000000" w:rsidRPr="00000000" w:rsidDel="00000000">
              <w:rPr>
                <w:sz w:val="24"/>
                <w:i w:val="1"/>
                <w:rtl w:val="0"/>
              </w:rPr>
              <w:t xml:space="preserve">euro</w:t>
            </w:r>
            <w:r w:rsidR="00000000" w:rsidRPr="00000000" w:rsidDel="00000000">
              <w:rPr>
                <w:sz w:val="24"/>
                <w:rtl w:val="0"/>
              </w:rPr>
              <w:t xml:space="preserve">, 2026. gadā 335 559 </w:t>
            </w:r>
            <w:r w:rsidR="00000000" w:rsidRPr="00000000" w:rsidDel="00000000">
              <w:rPr>
                <w:sz w:val="24"/>
                <w:i w:val="1"/>
                <w:rtl w:val="0"/>
              </w:rPr>
              <w:t xml:space="preserve">euro</w:t>
            </w:r>
            <w:r w:rsidR="00000000" w:rsidRPr="00000000" w:rsidDel="00000000">
              <w:rPr>
                <w:sz w:val="24"/>
                <w:rtl w:val="0"/>
              </w:rPr>
              <w:t xml:space="preserve">, 2027. gadā 359 759 </w:t>
            </w:r>
            <w:r w:rsidR="00000000" w:rsidRPr="00000000" w:rsidDel="00000000">
              <w:rPr>
                <w:sz w:val="24"/>
                <w:i w:val="1"/>
                <w:rtl w:val="0"/>
              </w:rPr>
              <w:t xml:space="preserve">euro</w:t>
            </w:r>
            <w:r w:rsidR="00000000" w:rsidRPr="00000000" w:rsidDel="00000000">
              <w:rPr>
                <w:sz w:val="24"/>
                <w:rtl w:val="0"/>
              </w:rPr>
              <w:t xml:space="preserve">, 2028. gadā 386 379 </w:t>
            </w:r>
            <w:r w:rsidR="00000000" w:rsidRPr="00000000" w:rsidDel="00000000">
              <w:rPr>
                <w:sz w:val="24"/>
                <w:i w:val="1"/>
                <w:rtl w:val="0"/>
              </w:rPr>
              <w:t xml:space="preserve">euro</w:t>
            </w:r>
            <w:r w:rsidR="00000000" w:rsidRPr="00000000" w:rsidDel="00000000">
              <w:rPr>
                <w:sz w:val="24"/>
                <w:rtl w:val="0"/>
              </w:rPr>
              <w:t xml:space="preserve">, 2029. gadā 415 661 </w:t>
            </w:r>
            <w:r w:rsidR="00000000" w:rsidRPr="00000000" w:rsidDel="00000000">
              <w:rPr>
                <w:sz w:val="24"/>
                <w:i w:val="1"/>
                <w:rtl w:val="0"/>
              </w:rPr>
              <w:t xml:space="preserve">euro</w:t>
            </w:r>
            <w:r w:rsidR="00000000" w:rsidRPr="00000000" w:rsidDel="00000000">
              <w:rPr>
                <w:sz w:val="24"/>
                <w:rtl w:val="0"/>
              </w:rPr>
              <w:t xml:space="preserve">, 2030. gadā 447 871 </w:t>
            </w:r>
            <w:r w:rsidR="00000000" w:rsidRPr="00000000" w:rsidDel="00000000">
              <w:rPr>
                <w:sz w:val="24"/>
                <w:i w:val="1"/>
                <w:rtl w:val="0"/>
              </w:rPr>
              <w:t xml:space="preserve">euro</w:t>
            </w:r>
            <w:r w:rsidR="00000000" w:rsidRPr="00000000" w:rsidDel="00000000">
              <w:rPr>
                <w:sz w:val="24"/>
                <w:rtl w:val="0"/>
              </w:rPr>
              <w:t xml:space="preserve">, 2031. gadā 483 302 </w:t>
            </w:r>
            <w:r w:rsidR="00000000" w:rsidRPr="00000000" w:rsidDel="00000000">
              <w:rPr>
                <w:sz w:val="24"/>
                <w:i w:val="1"/>
                <w:rtl w:val="0"/>
              </w:rPr>
              <w:t xml:space="preserve">euro</w:t>
            </w:r>
            <w:r w:rsidR="00000000" w:rsidRPr="00000000" w:rsidDel="00000000">
              <w:rPr>
                <w:sz w:val="24"/>
                <w:rtl w:val="0"/>
              </w:rPr>
              <w:t xml:space="preserve"> un 2032. gadā un turpmākajos gados 522 276 </w:t>
            </w:r>
            <w:r w:rsidR="00000000" w:rsidRPr="00000000" w:rsidDel="00000000">
              <w:rPr>
                <w:sz w:val="24"/>
                <w:i w:val="1"/>
                <w:rtl w:val="0"/>
              </w:rPr>
              <w:t xml:space="preserve">euro</w:t>
            </w:r>
            <w:r w:rsidR="00000000" w:rsidRPr="00000000" w:rsidDel="00000000">
              <w:rPr>
                <w:sz w:val="24"/>
                <w:rtl w:val="0"/>
              </w:rPr>
              <w:t xml:space="preserve"> apmērā, tai skaitā 93 559 </w:t>
            </w:r>
            <w:r w:rsidR="00000000" w:rsidRPr="00000000" w:rsidDel="00000000">
              <w:rPr>
                <w:sz w:val="24"/>
                <w:i w:val="1"/>
                <w:rtl w:val="0"/>
              </w:rPr>
              <w:t xml:space="preserve">euro</w:t>
            </w:r>
            <w:r w:rsidR="00000000" w:rsidRPr="00000000" w:rsidDel="00000000">
              <w:rPr>
                <w:sz w:val="24"/>
                <w:rtl w:val="0"/>
              </w:rPr>
              <w:t xml:space="preserve"> apmērā 2024. gadā un turpmāk ik gadu paredzēts segt no LM budžeta apakšprogrammā 97.02.00. "Labklājības nozares centralizēto funkciju izpilde" pieejamiem resursiem, savukārt papildus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200 000 </w:t>
            </w:r>
            <w:r w:rsidR="00000000" w:rsidRPr="00000000" w:rsidDel="00000000">
              <w:rPr>
                <w:sz w:val="24"/>
                <w:i w:val="1"/>
                <w:rtl w:val="0"/>
              </w:rPr>
              <w:t xml:space="preserve">euro,</w:t>
            </w:r>
            <w:r w:rsidR="00000000" w:rsidRPr="00000000" w:rsidDel="00000000">
              <w:rPr>
                <w:sz w:val="24"/>
                <w:rtl w:val="0"/>
              </w:rPr>
              <w:t xml:space="preserve"> 2025. gadā 220 000 </w:t>
            </w:r>
            <w:r w:rsidR="00000000" w:rsidRPr="00000000" w:rsidDel="00000000">
              <w:rPr>
                <w:sz w:val="24"/>
                <w:i w:val="1"/>
                <w:rtl w:val="0"/>
              </w:rPr>
              <w:t xml:space="preserve">euro</w:t>
            </w:r>
            <w:r w:rsidR="00000000" w:rsidRPr="00000000" w:rsidDel="00000000">
              <w:rPr>
                <w:sz w:val="24"/>
                <w:rtl w:val="0"/>
              </w:rPr>
              <w:t xml:space="preserve">, 2026. gadā 242 000 </w:t>
            </w:r>
            <w:r w:rsidR="00000000" w:rsidRPr="00000000" w:rsidDel="00000000">
              <w:rPr>
                <w:sz w:val="24"/>
                <w:i w:val="1"/>
                <w:rtl w:val="0"/>
              </w:rPr>
              <w:t xml:space="preserve">euro</w:t>
            </w:r>
            <w:r w:rsidR="00000000" w:rsidRPr="00000000" w:rsidDel="00000000">
              <w:rPr>
                <w:sz w:val="24"/>
                <w:rtl w:val="0"/>
              </w:rPr>
              <w:t xml:space="preserve">, 2027. gadā 266 200 </w:t>
            </w:r>
            <w:r w:rsidR="00000000" w:rsidRPr="00000000" w:rsidDel="00000000">
              <w:rPr>
                <w:sz w:val="24"/>
                <w:i w:val="1"/>
                <w:rtl w:val="0"/>
              </w:rPr>
              <w:t xml:space="preserve">euro</w:t>
            </w:r>
            <w:r w:rsidR="00000000" w:rsidRPr="00000000" w:rsidDel="00000000">
              <w:rPr>
                <w:sz w:val="24"/>
                <w:rtl w:val="0"/>
              </w:rPr>
              <w:t xml:space="preserve">, 2028. gadā 292 820 </w:t>
            </w:r>
            <w:r w:rsidR="00000000" w:rsidRPr="00000000" w:rsidDel="00000000">
              <w:rPr>
                <w:sz w:val="24"/>
                <w:i w:val="1"/>
                <w:rtl w:val="0"/>
              </w:rPr>
              <w:t xml:space="preserve">euro</w:t>
            </w:r>
            <w:r w:rsidR="00000000" w:rsidRPr="00000000" w:rsidDel="00000000">
              <w:rPr>
                <w:sz w:val="24"/>
                <w:rtl w:val="0"/>
              </w:rPr>
              <w:t xml:space="preserve">, 2029. gadā 322 102 </w:t>
            </w:r>
            <w:r w:rsidR="00000000" w:rsidRPr="00000000" w:rsidDel="00000000">
              <w:rPr>
                <w:sz w:val="24"/>
                <w:i w:val="1"/>
                <w:rtl w:val="0"/>
              </w:rPr>
              <w:t xml:space="preserve">euro</w:t>
            </w:r>
            <w:r w:rsidR="00000000" w:rsidRPr="00000000" w:rsidDel="00000000">
              <w:rPr>
                <w:sz w:val="24"/>
                <w:rtl w:val="0"/>
              </w:rPr>
              <w:t xml:space="preserve">, 2030. gadā 354 312 </w:t>
            </w:r>
            <w:r w:rsidR="00000000" w:rsidRPr="00000000" w:rsidDel="00000000">
              <w:rPr>
                <w:sz w:val="24"/>
                <w:i w:val="1"/>
                <w:rtl w:val="0"/>
              </w:rPr>
              <w:t xml:space="preserve">euro</w:t>
            </w:r>
            <w:r w:rsidR="00000000" w:rsidRPr="00000000" w:rsidDel="00000000">
              <w:rPr>
                <w:sz w:val="24"/>
                <w:rtl w:val="0"/>
              </w:rPr>
              <w:t xml:space="preserve">, 2031. gadā 389 743 </w:t>
            </w:r>
            <w:r w:rsidR="00000000" w:rsidRPr="00000000" w:rsidDel="00000000">
              <w:rPr>
                <w:sz w:val="24"/>
                <w:i w:val="1"/>
                <w:rtl w:val="0"/>
              </w:rPr>
              <w:t xml:space="preserve">euro</w:t>
            </w:r>
            <w:r w:rsidR="00000000" w:rsidRPr="00000000" w:rsidDel="00000000">
              <w:rPr>
                <w:sz w:val="24"/>
                <w:rtl w:val="0"/>
              </w:rPr>
              <w:t xml:space="preserve"> un 2032. gadā un turpmākajos gados 428 717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IKTC projektā ieviesto informācijas sistēmu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IKTC projektā ieviesto informācijas sistēmu uzturēšanai nepieciešams finansējums gan licenču atjaunināšanai, gan uzturēšanas darbu apmaksai: vienotās elektroniskā pasta sistēmas drošības sistēmas </w:t>
            </w:r>
            <w:r w:rsidR="00000000" w:rsidRPr="00000000" w:rsidDel="00000000">
              <w:rPr>
                <w:sz w:val="24"/>
                <w:i w:val="1"/>
                <w:rtl w:val="0"/>
              </w:rPr>
              <w:t xml:space="preserve">SandBox</w:t>
            </w:r>
            <w:r w:rsidR="00000000" w:rsidRPr="00000000" w:rsidDel="00000000">
              <w:rPr>
                <w:sz w:val="24"/>
                <w:rtl w:val="0"/>
              </w:rPr>
              <w:t xml:space="preserve"> uzturēšanas licenču atjaunošanas izmaksas, privileģēto kontu vadības sistēmas (</w:t>
            </w:r>
            <w:r w:rsidR="00000000" w:rsidRPr="00000000" w:rsidDel="00000000">
              <w:rPr>
                <w:sz w:val="24"/>
                <w:i w:val="1"/>
                <w:rtl w:val="0"/>
              </w:rPr>
              <w:t xml:space="preserve">Privileged Account Management</w:t>
            </w:r>
            <w:r w:rsidR="00000000" w:rsidRPr="00000000" w:rsidDel="00000000">
              <w:rPr>
                <w:sz w:val="24"/>
                <w:rtl w:val="0"/>
              </w:rPr>
              <w:t xml:space="preserve">) licenču atjaunošanas izmaksas, informācijas un komunikācijas tehnoloģiju drošības uzraudzības sistēmas (</w:t>
            </w:r>
            <w:r w:rsidR="00000000" w:rsidRPr="00000000" w:rsidDel="00000000">
              <w:rPr>
                <w:sz w:val="24"/>
                <w:i w:val="1"/>
                <w:rtl w:val="0"/>
              </w:rPr>
              <w:t xml:space="preserve">Security Information and Event Management</w:t>
            </w:r>
            <w:r w:rsidR="00000000" w:rsidRPr="00000000" w:rsidDel="00000000">
              <w:rPr>
                <w:sz w:val="24"/>
                <w:rtl w:val="0"/>
              </w:rPr>
              <w:t xml:space="preserve">) uzturēšanas izmaksas, informācijas sistēmu resursu vadības sistēmas izmaksas, centralizētas lietotāju darbstaciju vadības sistēmas uzturēšanas izmaksas, centralizēta informācijas un komunikācijas tehnoloģiju monitoringa sistēmas uzturēšanas izmaksas, kas kopā veido 93 559 </w:t>
            </w:r>
            <w:r w:rsidR="00000000" w:rsidRPr="00000000" w:rsidDel="00000000">
              <w:rPr>
                <w:sz w:val="24"/>
                <w:i w:val="1"/>
                <w:rtl w:val="0"/>
              </w:rPr>
              <w:t xml:space="preserve">euro</w:t>
            </w:r>
            <w:r w:rsidR="00000000" w:rsidRPr="00000000" w:rsidDel="00000000">
              <w:rPr>
                <w:sz w:val="24"/>
                <w:rtl w:val="0"/>
              </w:rPr>
              <w:t xml:space="preserve"> gadā par IKT projekta ietvaros ieviesto informācijas sistēmu licenču uzturēšanu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2024. gadā un turpmāk ik gadu veido 93 559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Informācijas sistēmu izvietošanas VESPC datu centrā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Aprēķināts, ka indikatīvās izmaksas, sākot ar 2024. gadu, varētu būt 200 000 </w:t>
            </w:r>
            <w:r w:rsidR="00000000" w:rsidRPr="00000000" w:rsidDel="00000000">
              <w:rPr>
                <w:sz w:val="24"/>
                <w:i w:val="1"/>
                <w:rtl w:val="0"/>
              </w:rPr>
              <w:t xml:space="preserve">euro</w:t>
            </w:r>
            <w:r w:rsidR="00000000" w:rsidRPr="00000000" w:rsidDel="00000000">
              <w:rPr>
                <w:sz w:val="24"/>
                <w:rtl w:val="0"/>
              </w:rPr>
              <w:t xml:space="preserve"> gadā, vienlaikus ņemot vērā VESPC datu centrā izvietoto sistēmu datu apjoma palielinājumu vidēji par 10 % gadā, tad plānots, ka turpmākajos gados nepieciešamais finansējums izmaksu segšanai varētu palielināties vidēji par 10 % gadā, kas nozīmē, ka deviņu gadu periodā izmaksas var sasniegt 2 715 894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kopējās informācijas sistēmu izvietošanas VESPC datu centrā izmaksas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200 000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106 441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220 000 </w:t>
            </w:r>
            <w:r w:rsidR="00000000" w:rsidRPr="00000000" w:rsidDel="00000000">
              <w:rPr>
                <w:sz w:val="24"/>
                <w:i w:val="1"/>
                <w:rtl w:val="0"/>
              </w:rPr>
              <w:t xml:space="preserve">euro </w:t>
            </w:r>
            <w:r w:rsidR="00000000" w:rsidRPr="00000000" w:rsidDel="00000000">
              <w:rPr>
                <w:sz w:val="24"/>
                <w:rtl w:val="0"/>
              </w:rPr>
              <w:t xml:space="preserve">(200 000 </w:t>
            </w:r>
            <w:r w:rsidR="00000000" w:rsidRPr="00000000" w:rsidDel="00000000">
              <w:rPr>
                <w:sz w:val="24"/>
                <w:i w:val="1"/>
                <w:rtl w:val="0"/>
              </w:rPr>
              <w:t xml:space="preserve">euro </w:t>
            </w:r>
            <w:r w:rsidR="00000000" w:rsidRPr="00000000" w:rsidDel="00000000">
              <w:rPr>
                <w:sz w:val="24"/>
                <w:rtl w:val="0"/>
              </w:rPr>
              <w:t xml:space="preserve">+ 10 % pieaugums (20 000 </w:t>
            </w:r>
            <w:r w:rsidR="00000000" w:rsidRPr="00000000" w:rsidDel="00000000">
              <w:rPr>
                <w:sz w:val="24"/>
                <w:i w:val="1"/>
                <w:rtl w:val="0"/>
              </w:rPr>
              <w:t xml:space="preserve">euro</w:t>
            </w:r>
            <w:r w:rsidR="00000000" w:rsidRPr="00000000" w:rsidDel="00000000">
              <w:rPr>
                <w:sz w:val="24"/>
                <w:rtl w:val="0"/>
              </w:rPr>
              <w:t xml:space="preserve">) = 220 000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126 441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242 000 </w:t>
            </w:r>
            <w:r w:rsidR="00000000" w:rsidRPr="00000000" w:rsidDel="00000000">
              <w:rPr>
                <w:sz w:val="24"/>
                <w:i w:val="1"/>
                <w:rtl w:val="0"/>
              </w:rPr>
              <w:t xml:space="preserve">euro</w:t>
            </w:r>
            <w:r w:rsidR="00000000" w:rsidRPr="00000000" w:rsidDel="00000000">
              <w:rPr>
                <w:sz w:val="24"/>
                <w:rtl w:val="0"/>
              </w:rPr>
              <w:t xml:space="preserve"> (220 000 </w:t>
            </w:r>
            <w:r w:rsidR="00000000" w:rsidRPr="00000000" w:rsidDel="00000000">
              <w:rPr>
                <w:sz w:val="24"/>
                <w:i w:val="1"/>
                <w:rtl w:val="0"/>
              </w:rPr>
              <w:t xml:space="preserve">euro </w:t>
            </w:r>
            <w:r w:rsidR="00000000" w:rsidRPr="00000000" w:rsidDel="00000000">
              <w:rPr>
                <w:sz w:val="24"/>
                <w:rtl w:val="0"/>
              </w:rPr>
              <w:t xml:space="preserve">+ 10 % pieaugums (22 000 </w:t>
            </w:r>
            <w:r w:rsidR="00000000" w:rsidRPr="00000000" w:rsidDel="00000000">
              <w:rPr>
                <w:sz w:val="24"/>
                <w:i w:val="1"/>
                <w:rtl w:val="0"/>
              </w:rPr>
              <w:t xml:space="preserve">euro</w:t>
            </w:r>
            <w:r w:rsidR="00000000" w:rsidRPr="00000000" w:rsidDel="00000000">
              <w:rPr>
                <w:sz w:val="24"/>
                <w:rtl w:val="0"/>
              </w:rPr>
              <w:t xml:space="preserve">) = 242 000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148 441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266 200 </w:t>
            </w:r>
            <w:r w:rsidR="00000000" w:rsidRPr="00000000" w:rsidDel="00000000">
              <w:rPr>
                <w:sz w:val="24"/>
                <w:i w:val="1"/>
                <w:rtl w:val="0"/>
              </w:rPr>
              <w:t xml:space="preserve">euro</w:t>
            </w:r>
            <w:r w:rsidR="00000000" w:rsidRPr="00000000" w:rsidDel="00000000">
              <w:rPr>
                <w:sz w:val="24"/>
                <w:rtl w:val="0"/>
              </w:rPr>
              <w:t xml:space="preserve"> (242 000 </w:t>
            </w:r>
            <w:r w:rsidR="00000000" w:rsidRPr="00000000" w:rsidDel="00000000">
              <w:rPr>
                <w:sz w:val="24"/>
                <w:i w:val="1"/>
                <w:rtl w:val="0"/>
              </w:rPr>
              <w:t xml:space="preserve">euro </w:t>
            </w:r>
            <w:r w:rsidR="00000000" w:rsidRPr="00000000" w:rsidDel="00000000">
              <w:rPr>
                <w:sz w:val="24"/>
                <w:rtl w:val="0"/>
              </w:rPr>
              <w:t xml:space="preserve">+ 10 % pieaugums (24 200 </w:t>
            </w:r>
            <w:r w:rsidR="00000000" w:rsidRPr="00000000" w:rsidDel="00000000">
              <w:rPr>
                <w:sz w:val="24"/>
                <w:i w:val="1"/>
                <w:rtl w:val="0"/>
              </w:rPr>
              <w:t xml:space="preserve">euro</w:t>
            </w:r>
            <w:r w:rsidR="00000000" w:rsidRPr="00000000" w:rsidDel="00000000">
              <w:rPr>
                <w:sz w:val="24"/>
                <w:rtl w:val="0"/>
              </w:rPr>
              <w:t xml:space="preserve">) = 266 200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172 641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292 820 </w:t>
            </w:r>
            <w:r w:rsidR="00000000" w:rsidRPr="00000000" w:rsidDel="00000000">
              <w:rPr>
                <w:sz w:val="24"/>
                <w:i w:val="1"/>
                <w:rtl w:val="0"/>
              </w:rPr>
              <w:t xml:space="preserve">euro</w:t>
            </w:r>
            <w:r w:rsidR="00000000" w:rsidRPr="00000000" w:rsidDel="00000000">
              <w:rPr>
                <w:sz w:val="24"/>
                <w:rtl w:val="0"/>
              </w:rPr>
              <w:t xml:space="preserve"> (266 200 </w:t>
            </w:r>
            <w:r w:rsidR="00000000" w:rsidRPr="00000000" w:rsidDel="00000000">
              <w:rPr>
                <w:sz w:val="24"/>
                <w:i w:val="1"/>
                <w:rtl w:val="0"/>
              </w:rPr>
              <w:t xml:space="preserve">euro</w:t>
            </w:r>
            <w:r w:rsidR="00000000" w:rsidRPr="00000000" w:rsidDel="00000000">
              <w:rPr>
                <w:sz w:val="24"/>
                <w:rtl w:val="0"/>
              </w:rPr>
              <w:t xml:space="preserve"> + 10 % pieaugums (26 620 </w:t>
            </w:r>
            <w:r w:rsidR="00000000" w:rsidRPr="00000000" w:rsidDel="00000000">
              <w:rPr>
                <w:sz w:val="24"/>
                <w:i w:val="1"/>
                <w:rtl w:val="0"/>
              </w:rPr>
              <w:t xml:space="preserve">euro</w:t>
            </w:r>
            <w:r w:rsidR="00000000" w:rsidRPr="00000000" w:rsidDel="00000000">
              <w:rPr>
                <w:sz w:val="24"/>
                <w:rtl w:val="0"/>
              </w:rPr>
              <w:t xml:space="preserve">) = 292 820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199 261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322 102 </w:t>
            </w:r>
            <w:r w:rsidR="00000000" w:rsidRPr="00000000" w:rsidDel="00000000">
              <w:rPr>
                <w:sz w:val="24"/>
                <w:i w:val="1"/>
                <w:rtl w:val="0"/>
              </w:rPr>
              <w:t xml:space="preserve">euro</w:t>
            </w:r>
            <w:r w:rsidR="00000000" w:rsidRPr="00000000" w:rsidDel="00000000">
              <w:rPr>
                <w:sz w:val="24"/>
                <w:rtl w:val="0"/>
              </w:rPr>
              <w:t xml:space="preserve"> (292 820 </w:t>
            </w:r>
            <w:r w:rsidR="00000000" w:rsidRPr="00000000" w:rsidDel="00000000">
              <w:rPr>
                <w:sz w:val="24"/>
                <w:i w:val="1"/>
                <w:rtl w:val="0"/>
              </w:rPr>
              <w:t xml:space="preserve">euro</w:t>
            </w:r>
            <w:r w:rsidR="00000000" w:rsidRPr="00000000" w:rsidDel="00000000">
              <w:rPr>
                <w:sz w:val="24"/>
                <w:rtl w:val="0"/>
              </w:rPr>
              <w:t xml:space="preserve">+10% pieaugums (29 282</w:t>
            </w:r>
            <w:r w:rsidR="00000000" w:rsidRPr="00000000" w:rsidDel="00000000">
              <w:rPr>
                <w:sz w:val="24"/>
                <w:i w:val="1"/>
                <w:rtl w:val="0"/>
              </w:rPr>
              <w:t xml:space="preserve"> euro</w:t>
            </w:r>
            <w:r w:rsidR="00000000" w:rsidRPr="00000000" w:rsidDel="00000000">
              <w:rPr>
                <w:sz w:val="24"/>
                <w:rtl w:val="0"/>
              </w:rPr>
              <w:t xml:space="preserve">) = 322 102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228 543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354 312 </w:t>
            </w:r>
            <w:r w:rsidR="00000000" w:rsidRPr="00000000" w:rsidDel="00000000">
              <w:rPr>
                <w:sz w:val="24"/>
                <w:i w:val="1"/>
                <w:rtl w:val="0"/>
              </w:rPr>
              <w:t xml:space="preserve">euro</w:t>
            </w:r>
            <w:r w:rsidR="00000000" w:rsidRPr="00000000" w:rsidDel="00000000">
              <w:rPr>
                <w:sz w:val="24"/>
                <w:rtl w:val="0"/>
              </w:rPr>
              <w:t xml:space="preserve"> (322 102 </w:t>
            </w:r>
            <w:r w:rsidR="00000000" w:rsidRPr="00000000" w:rsidDel="00000000">
              <w:rPr>
                <w:sz w:val="24"/>
                <w:i w:val="1"/>
                <w:rtl w:val="0"/>
              </w:rPr>
              <w:t xml:space="preserve">euro </w:t>
            </w:r>
            <w:r w:rsidR="00000000" w:rsidRPr="00000000" w:rsidDel="00000000">
              <w:rPr>
                <w:sz w:val="24"/>
                <w:rtl w:val="0"/>
              </w:rPr>
              <w:t xml:space="preserve">+ 10 % pieaugums (32 210 </w:t>
            </w:r>
            <w:r w:rsidR="00000000" w:rsidRPr="00000000" w:rsidDel="00000000">
              <w:rPr>
                <w:sz w:val="24"/>
                <w:i w:val="1"/>
                <w:rtl w:val="0"/>
              </w:rPr>
              <w:t xml:space="preserve">euro</w:t>
            </w:r>
            <w:r w:rsidR="00000000" w:rsidRPr="00000000" w:rsidDel="00000000">
              <w:rPr>
                <w:sz w:val="24"/>
                <w:rtl w:val="0"/>
              </w:rPr>
              <w:t xml:space="preserve">) = 354 312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260 753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2031. gadā 389 743 </w:t>
            </w:r>
            <w:r w:rsidR="00000000" w:rsidRPr="00000000" w:rsidDel="00000000">
              <w:rPr>
                <w:sz w:val="24"/>
                <w:i w:val="1"/>
                <w:rtl w:val="0"/>
              </w:rPr>
              <w:t xml:space="preserve">euro</w:t>
            </w:r>
            <w:r w:rsidR="00000000" w:rsidRPr="00000000" w:rsidDel="00000000">
              <w:rPr>
                <w:sz w:val="24"/>
                <w:rtl w:val="0"/>
              </w:rPr>
              <w:t xml:space="preserve"> (354 312 </w:t>
            </w:r>
            <w:r w:rsidR="00000000" w:rsidRPr="00000000" w:rsidDel="00000000">
              <w:rPr>
                <w:sz w:val="24"/>
                <w:i w:val="1"/>
                <w:rtl w:val="0"/>
              </w:rPr>
              <w:t xml:space="preserve">euro </w:t>
            </w:r>
            <w:r w:rsidR="00000000" w:rsidRPr="00000000" w:rsidDel="00000000">
              <w:rPr>
                <w:sz w:val="24"/>
                <w:rtl w:val="0"/>
              </w:rPr>
              <w:t xml:space="preserve">+ 10 % pieaugums (35 431 </w:t>
            </w:r>
            <w:r w:rsidR="00000000" w:rsidRPr="00000000" w:rsidDel="00000000">
              <w:rPr>
                <w:sz w:val="24"/>
                <w:i w:val="1"/>
                <w:rtl w:val="0"/>
              </w:rPr>
              <w:t xml:space="preserve">euro</w:t>
            </w:r>
            <w:r w:rsidR="00000000" w:rsidRPr="00000000" w:rsidDel="00000000">
              <w:rPr>
                <w:sz w:val="24"/>
                <w:rtl w:val="0"/>
              </w:rPr>
              <w:t xml:space="preserve">) = 389 743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296 184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2032. gadā un turpmākajos gados 428 717 </w:t>
            </w:r>
            <w:r w:rsidR="00000000" w:rsidRPr="00000000" w:rsidDel="00000000">
              <w:rPr>
                <w:sz w:val="24"/>
                <w:i w:val="1"/>
                <w:rtl w:val="0"/>
              </w:rPr>
              <w:t xml:space="preserve">euro</w:t>
            </w:r>
            <w:r w:rsidR="00000000" w:rsidRPr="00000000" w:rsidDel="00000000">
              <w:rPr>
                <w:sz w:val="24"/>
                <w:rtl w:val="0"/>
              </w:rPr>
              <w:t xml:space="preserve"> (389 743 </w:t>
            </w:r>
            <w:r w:rsidR="00000000" w:rsidRPr="00000000" w:rsidDel="00000000">
              <w:rPr>
                <w:sz w:val="24"/>
                <w:i w:val="1"/>
                <w:rtl w:val="0"/>
              </w:rPr>
              <w:t xml:space="preserve">euro </w:t>
            </w:r>
            <w:r w:rsidR="00000000" w:rsidRPr="00000000" w:rsidDel="00000000">
              <w:rPr>
                <w:sz w:val="24"/>
                <w:rtl w:val="0"/>
              </w:rPr>
              <w:t xml:space="preserve">+ 10 % pieaugums (38 974 </w:t>
            </w:r>
            <w:r w:rsidR="00000000" w:rsidRPr="00000000" w:rsidDel="00000000">
              <w:rPr>
                <w:sz w:val="24"/>
                <w:i w:val="1"/>
                <w:rtl w:val="0"/>
              </w:rPr>
              <w:t xml:space="preserve">euro</w:t>
            </w:r>
            <w:r w:rsidR="00000000" w:rsidRPr="00000000" w:rsidDel="00000000">
              <w:rPr>
                <w:sz w:val="24"/>
                <w:rtl w:val="0"/>
              </w:rPr>
              <w:t xml:space="preserve">) = 428 717 </w:t>
            </w:r>
            <w:r w:rsidR="00000000" w:rsidRPr="00000000" w:rsidDel="00000000">
              <w:rPr>
                <w:sz w:val="24"/>
                <w:i w:val="1"/>
                <w:rtl w:val="0"/>
              </w:rPr>
              <w:t xml:space="preserve">euro</w:t>
            </w:r>
            <w:r w:rsidR="00000000" w:rsidRPr="00000000" w:rsidDel="00000000">
              <w:rPr>
                <w:sz w:val="24"/>
                <w:rtl w:val="0"/>
              </w:rPr>
              <w:t xml:space="preserve">), t.sk. esošais finansējums 93 559 </w:t>
            </w:r>
            <w:r w:rsidR="00000000" w:rsidRPr="00000000" w:rsidDel="00000000">
              <w:rPr>
                <w:sz w:val="24"/>
                <w:i w:val="1"/>
                <w:rtl w:val="0"/>
              </w:rPr>
              <w:t xml:space="preserve">euro</w:t>
            </w:r>
            <w:r w:rsidR="00000000" w:rsidRPr="00000000" w:rsidDel="00000000">
              <w:rPr>
                <w:sz w:val="24"/>
                <w:rtl w:val="0"/>
              </w:rPr>
              <w:t xml:space="preserve"> apmērā un papildu nepieciešamais finansējums 335 158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izvietošanas VESPC datu centrā izmaksas veido virtuālo resursu, rezerves kopēšanas un programmatūras nomas maksas, kas 2024. gadā indikatīvi plānotas 200 000 </w:t>
            </w:r>
            <w:r w:rsidR="00000000" w:rsidRPr="00000000" w:rsidDel="00000000">
              <w:rPr>
                <w:sz w:val="24"/>
                <w:i w:val="1"/>
                <w:rtl w:val="0"/>
              </w:rPr>
              <w:t xml:space="preserve">euro</w:t>
            </w:r>
            <w:r w:rsidR="00000000" w:rsidRPr="00000000" w:rsidDel="00000000">
              <w:rPr>
                <w:sz w:val="24"/>
                <w:rtl w:val="0"/>
              </w:rPr>
              <w:t xml:space="preserve"> apmērā,  t.sk. uzturēšanas izmaksas 93 559 </w:t>
            </w:r>
            <w:r w:rsidR="00000000" w:rsidRPr="00000000" w:rsidDel="00000000">
              <w:rPr>
                <w:sz w:val="24"/>
                <w:i w:val="1"/>
                <w:rtl w:val="0"/>
              </w:rPr>
              <w:t xml:space="preserve">euro</w:t>
            </w:r>
            <w:r w:rsidR="00000000" w:rsidRPr="00000000" w:rsidDel="00000000">
              <w:rPr>
                <w:sz w:val="24"/>
                <w:rtl w:val="0"/>
              </w:rPr>
              <w:t xml:space="preserve"> apmērā 2024. gadā un turpmāk ik gadu tiks nodrošinātas nozares piešķirtā finansējuma ietvaros no finansējuma, kas paredzēts šobrīd esošā datu centra uzturēšanai (no piešķirtā finansējuma pasākuma “Labklājības nozares kritiskās IT infrastruktūras rezerves datu centra izveidošana”, mazinot risku nozares funkciju izpildei būtisko informācijas sistēmu “SAIS”, “VDEĀVK IIS” un “BURVIS” darbības nepārtrauktībai un uzlabojot sistēmu darbības atjaunošanas procesu” īstenošanai (MK 2020. gada 22. septembra sēdes protokola Nr. 55 38. § 20.5. apakšpunkts)), un no IKTC projekta rezultātu uzturēšanai piešķirtā finansējuma tiks izlietoti 2024. gadā 106 441 </w:t>
            </w:r>
            <w:r w:rsidR="00000000" w:rsidRPr="00000000" w:rsidDel="00000000">
              <w:rPr>
                <w:sz w:val="24"/>
                <w:i w:val="1"/>
                <w:rtl w:val="0"/>
              </w:rPr>
              <w:t xml:space="preserve">euro</w:t>
            </w:r>
            <w:r w:rsidR="00000000" w:rsidRPr="00000000" w:rsidDel="00000000">
              <w:rPr>
                <w:sz w:val="24"/>
                <w:rtl w:val="0"/>
              </w:rPr>
              <w:t xml:space="preserve">, ņemot vērā pastāvīgu datu apjoma pieaugumu, vidēji 10 % gadā, šai summai jāparedz ikgadējs pieaugums, kas 2025. gadā veido 126 441 </w:t>
            </w:r>
            <w:r w:rsidR="00000000" w:rsidRPr="00000000" w:rsidDel="00000000">
              <w:rPr>
                <w:sz w:val="24"/>
                <w:i w:val="1"/>
                <w:rtl w:val="0"/>
              </w:rPr>
              <w:t xml:space="preserve">euro</w:t>
            </w:r>
            <w:r w:rsidR="00000000" w:rsidRPr="00000000" w:rsidDel="00000000">
              <w:rPr>
                <w:sz w:val="24"/>
                <w:rtl w:val="0"/>
              </w:rPr>
              <w:t xml:space="preserve">, 2026. gadā 148 441 </w:t>
            </w:r>
            <w:r w:rsidR="00000000" w:rsidRPr="00000000" w:rsidDel="00000000">
              <w:rPr>
                <w:sz w:val="24"/>
                <w:i w:val="1"/>
                <w:rtl w:val="0"/>
              </w:rPr>
              <w:t xml:space="preserve">euro</w:t>
            </w:r>
            <w:r w:rsidR="00000000" w:rsidRPr="00000000" w:rsidDel="00000000">
              <w:rPr>
                <w:sz w:val="24"/>
                <w:rtl w:val="0"/>
              </w:rPr>
              <w:t xml:space="preserve">, 2027. gadā 172 641 </w:t>
            </w:r>
            <w:r w:rsidR="00000000" w:rsidRPr="00000000" w:rsidDel="00000000">
              <w:rPr>
                <w:sz w:val="24"/>
                <w:i w:val="1"/>
                <w:rtl w:val="0"/>
              </w:rPr>
              <w:t xml:space="preserve">euro</w:t>
            </w:r>
            <w:r w:rsidR="00000000" w:rsidRPr="00000000" w:rsidDel="00000000">
              <w:rPr>
                <w:sz w:val="24"/>
                <w:rtl w:val="0"/>
              </w:rPr>
              <w:t xml:space="preserve">, 2028. gadā 199 261 </w:t>
            </w:r>
            <w:r w:rsidR="00000000" w:rsidRPr="00000000" w:rsidDel="00000000">
              <w:rPr>
                <w:sz w:val="24"/>
                <w:i w:val="1"/>
                <w:rtl w:val="0"/>
              </w:rPr>
              <w:t xml:space="preserve">euro</w:t>
            </w:r>
            <w:r w:rsidR="00000000" w:rsidRPr="00000000" w:rsidDel="00000000">
              <w:rPr>
                <w:sz w:val="24"/>
                <w:rtl w:val="0"/>
              </w:rPr>
              <w:t xml:space="preserve">, 2029. gadā 228 543 </w:t>
            </w:r>
            <w:r w:rsidR="00000000" w:rsidRPr="00000000" w:rsidDel="00000000">
              <w:rPr>
                <w:sz w:val="24"/>
                <w:i w:val="1"/>
                <w:rtl w:val="0"/>
              </w:rPr>
              <w:t xml:space="preserve">euro</w:t>
            </w:r>
            <w:r w:rsidR="00000000" w:rsidRPr="00000000" w:rsidDel="00000000">
              <w:rPr>
                <w:sz w:val="24"/>
                <w:rtl w:val="0"/>
              </w:rPr>
              <w:t xml:space="preserve">, 2030. gadā 260 753 </w:t>
            </w:r>
            <w:r w:rsidR="00000000" w:rsidRPr="00000000" w:rsidDel="00000000">
              <w:rPr>
                <w:sz w:val="24"/>
                <w:i w:val="1"/>
                <w:rtl w:val="0"/>
              </w:rPr>
              <w:t xml:space="preserve">euro</w:t>
            </w:r>
            <w:r w:rsidR="00000000" w:rsidRPr="00000000" w:rsidDel="00000000">
              <w:rPr>
                <w:sz w:val="24"/>
                <w:rtl w:val="0"/>
              </w:rPr>
              <w:t xml:space="preserve">, 2031. gadā 296 184 </w:t>
            </w:r>
            <w:r w:rsidR="00000000" w:rsidRPr="00000000" w:rsidDel="00000000">
              <w:rPr>
                <w:sz w:val="24"/>
                <w:i w:val="1"/>
                <w:rtl w:val="0"/>
              </w:rPr>
              <w:t xml:space="preserve">euro</w:t>
            </w:r>
            <w:r w:rsidR="00000000" w:rsidRPr="00000000" w:rsidDel="00000000">
              <w:rPr>
                <w:sz w:val="24"/>
                <w:rtl w:val="0"/>
              </w:rPr>
              <w:t xml:space="preserve"> un 2032. gadā un turpmākajos gados 335 158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galīgā norēķina maksājuma veikšanas, lai nodrošinātu turpmāku informācijas sistēmu uzturēšanu pēc IKTC projekta pabeigšanas, 2024. gadā LM normatīvajos aktos noteiktajā kārtībā sagatavos un iesniegs Finanšu ministrijā priekšlikumu papildu nepieciešamā finansējuma piešķiršanai, attiecīgi iesniedzot detalizētus aprēķinus.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attiecas uz valsts pārvaldes iestāžu (labklājības nozares) iekšējo informācijas un komunikācijas tehnoloģiju centralizāciju un attīstīšanu, tad sabiedrības iesaiste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"Latgale"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"Zemgale"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aprūpes centrs "Kurzeme"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nozares iestāžu informācijas sistēmu centralizēta izvietošana VESPC datu centrā un uzlaboti informācijas un komunikācijas tehnoloģiju pārvaldības procesi nodrošinās vienkāršāku informācijas sistēmu pārvaldību un efektīvāku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nozares iestāžu informācijas sistēmu izvietošana VESPC datu centrā ļaus uzlabot, vienkāršot un padarīt drošākus savienojumus ar citu nozaru iestāžu informācijas sistēmām, īpaši ar tām, kas jau ir un vēl tiks izvietotas VESPC. Vienotas VESPC informācijas tehnoloģiju platformas izmantošana samazina dažādu institūciju informācijas sistēmu tehnoloģiskas nesaderības riskus un vienkāršo to potenciālu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22-TA-2374</w:t>
    </w:r>
    <w:r>
      <w:br/>
    </w:r>
    <w:r w:rsidR="00000000" w:rsidRPr="00000000" w:rsidDel="00000000">
      <w:rPr>
        <w:rtl w:val="0"/>
      </w:rPr>
      <w:t xml:space="preserve">Izdrukāts 29.07.2026. 21.08 - 2.0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22-TA-2374</w:t>
    </w:r>
    <w:r>
      <w:br/>
    </w:r>
    <w:r w:rsidR="00000000" w:rsidRPr="00000000" w:rsidDel="00000000">
      <w:rPr>
        <w:rtl w:val="0"/>
      </w:rPr>
      <w:t xml:space="preserve">Izdrukāts 29.07.2026. 21.08 - 2.0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anotācija_(ex_ante)_22-TA-2374.docx</dc:title>
</cp:coreProperties>
</file>

<file path=docProps/custom.xml><?xml version="1.0" encoding="utf-8"?>
<Properties xmlns="http://schemas.openxmlformats.org/officeDocument/2006/custom-properties" xmlns:vt="http://schemas.openxmlformats.org/officeDocument/2006/docPropsVTypes"/>
</file>