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un Eiropas Savienības fondu 2021. — 2027. gada plānošanas perioda vadības likuma 19.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punktu. Pasākuma mērķis ir nodrošināt vienlīdzīgu piekļūstamību psihiskās veselības aprūpei un stiprināt veselības aprūpes sistēmu, attīstot psihiskās veselības aprūpes infrastruktūru.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traucējumi ir bieži sastopami un veido ievērojamu daļu no slimību sloga. Eiropas Savienības (turpmāk – ES) valstīs psihiskās veselības traucējumi ir vairāk nekā trešdaļai iedzīvotāju. Izplatītākie psihiskās veselības traucējumi ir trauksme, bezmiegs, smaga depresija, somatoformi traucējumi, atkarība no alkohola un narkotikām, uzmanības deficīta un hiperaktivitātes sindroms jauniešiem, un demence.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iedzīvotāju psihiskā veselība pēdējos gados ir bijusi viena no aktualitātēm sabiedrības veselībā. Tās nozīme īpaši pieaugusi Covid-19 pandēmijas laikā, kad sabiedrībai nācās saskarties ar dažādiem izaicinājumiem, kas tieši un netieši ietekmēja psihisko veselību, piemēram, trauksme par nezināmo, socializēšanās ierobežojumi, izmaiņas darba vidē, veselības aprūpes pieejamības samazināšanās, sociāli ekonomiskā stāvokļa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sarežģījumi mazina cilvēka spēju sevi realizēt, veidot veselīgas attiecības ar ģimeni, draugiem, sabiedrību, piedzīvot profesionālu piepildījumu. Laba psihiskā veselība ir nosacījums stabilai, drošai, savstarpēji atbalstošai un labklājībā dzīvojošai sabiedrībai, kas spēj īstenot savu potenciālu un pilnveidoties.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sarežģījumi ir ārkārtīgi dažādi, ir daudz diagnožu un stāvokļu, kur arī katrā situācijā nepieciešamais atbalsts, aprūpe un ārstniecība ir dažāda. Pretstatā senākiem laikiem, kad psihiatriskā aprūpe un ārstniecība bija institūcijās bāzēta palīdzība (stacionārā aprūpe), mūsdienās psihiskās veselības aprūpe arvien vairāk tendēta uz ambulatoro pieeju un darbu komandā, aprūpes procesā iesaistot papildu speciālistus, piemēram, rehabilitācijas komandu, klīniskos psihologus.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iedzīvotāju (15 - 74 g.v.) veselību ietekmējošo paradumu 2022. gada pētījuma datiem par iedzīvotāju psihoemocionālo stāvokli Latvijā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sasprindzinājumu, stresu un nomāktību pēdējā mēneša laikā dažreiz izjuta 53,6 % iedzīvotāju, kas salīdzinājumā ar 2020. gadu ir par 7,5 % vairāk. Tāpat nedaudz palielinājies cilvēku īpatsvars, kuri uzskata dzīvi par neciešamu – 2020. gadā tādu iedzīvotāju bija 0,4 %, bet 2022. gadā – 0,7 %.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iedzīvotāju īpatsvars, kuriem bija sūdzības par depresiju gan 2020. gadā, gan 2022. gadā palicis nemainīgs – 17,3 %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iedzīvotāju virs darbaspējas vecuma (no 65 g.v.) veselību ietekmējošo paradumu un funkcionālo spēju pētījuma datiem, kas 2019. gadā īstenots Eiropas Sociālā fonda projekta ietvaros, novērojami depresijas simptomi bija 18,7 % respondentu (10,7 % mēreni un 8 % stipri izteikti). Mēreni vai stipri izteiktu depresijas simptomu īpatsvars būtiski pieaug, palielinoties senioru vecumam, tas ir augstāks senioriem ar pamata izglītību, kā arī senioriem, kuri dzīvo vieni paši, cieš no hroniskām sāpēm, kā arī savu veselību novērtēja kā sliktu.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augsts nediagnosticētas depresijas īpatsvars. Negatīvo situāciju, kas liecina par to, ka būtiska daļa iedzīvotāju ar psihiskiem traucējumiem pēc palīdzības nevēršas, atspoguļo dati – Latvijas pētnieki noskaidrojuši, ka klīniski nozīmīga depresija diagnosticējama teju 7 %[5] Latvijas 15 - 64 gadus veco iedzīvotāju, savukārt to iedzīvotāju īpatsvars, kuri ziņojuši par pēdējā gada laikā diagnosticētu un ārstētu depresiju, 2016. gadā bija vien 2,7 % iedzīvotāju (2,2 % vīriešu un 3,1 % sieviešu), bet 2018. gadā – 4,5 % iedzīvotāju (3,1 % vīriešu un 5,8 % sieviešu), kamēr pēc valsts apmaksātās palīdzības pie dažādiem ārstiem (visbiežāk ģimenes ārsta un psihiatra) ar depresiju vērsušies vien 0,2 % [6] Latvijas 15 - 64 gadus veco iedzīvotāju. Diemžēl savlaicīgi nediagnosticēti un neārstēti psihiski traucējumi, īpaši depresija, ir būtisks pašnāvību riska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sabiedrībā vēl joprojām valda aizspriedumi pret personām ar psihiskās veselības traucējumiem, kas kavē vēršanos pēc palīdzības, šo traucējumu atklāšanu, ārstēšanu, kā arī saslimušo cilvēku iekļaušanos sabiedrībā, tai skaitā veselības aprūpes sistēmā. Ir nepieciešams attīstīt un pilnveidot starpnozaru pieejā balstītus psihiskās veselības aprūpes un atbalsta pakalpojumus, lai veicinātu to atbilstību, pieejamību un izmantošanu dažādām mērķa grupām atbilstoši to vajadzībām. Tas, ka personas ar psihiskās veselības problēmām laicīgi nevēršas pēc palīdzības, kā arī veselības aprūpes un atbalsta iespēju nepieejamība, ir vieni no iemesliem, kāpēc Latvijā ir augsts nediagnosticētas depresijas īpatsvars un augsti mirstības rādītāji (jo īpaši vīriešu) no pašnāvībām. Pašnāvību rādītāja samazināšanās var tikt sasniegta, īstenojot kompleksas darbības (depresijas atpazīšanas kampaņas ar aicinājumu vērsties pēc palīdzības, nodrošinot nemedikamentozās un medikamentozās terapijas pieejamību, motivējot veselības aprūpes nozares cilvēkresursus aktīvāk līdzdarboties pacientu psihiskās veselības aprūpē u.c.). [7]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joprojām ir starp ES valstīm ar augstākajiem pašnāvību rādītājiem. Mirstība no tīša paškaitējuma vīriešiem ir daudzkārt augstāka nekā sievietēm (2021. gadā – 6 reizes, 2022. gadā – 5,6 reizes).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par potenciāli zaudētajiem mūža gadiem (gan līdz 64 gadu vecumam, gan līdz 69 gadu vecumam) rādītāju pašnāvību dēļ, jāatzīmē, ka tas ir nozīmīgākais ārējais nāves cēlonis, kā dēļ tiek zaudēts visvairāk potenciālo mūža gadu – tātad nozīmīgākais priekšlaicīgas nāves cēlonis, īpaši vīriešiem (vīriešiem rādītājs daudzkārt lielāks nekā sievietēm, 2019. gadā – 6 reizes). [9]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Wittchen H.U., Jacobi F. Rehm J., et al. The size and burden of mental disorders and other disorders of the brain in Europe 2010. European Neuropsychopharmacology, 2011. 21: 655-679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Skrule J., Štāle M., Rožkalne G. Psihiskā veselība Latvijā 2015.-2021.gadā- https://www.spkc.gov.lv/lv/media/18384/download?attachment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iedzīvotāju veselību ietekmējošo paradumu pētījums, 2022, https://www.spkc.gov.lv/lv/media/18708/download?attachment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iedzīvotāju virs darbaspējas vecuma veselību ietekmējošo paradumu un funkcionālo spēju pētījums", 2019, https://www.esparveselibu.lv/sites/default/files/2020-04/Latvijas%20iedz%C4%ABvot%C4%81ju%20virs%20darbsp%C4%93jas%20vecuma%20vesel%C4%ABbu%20ietekm%C4%93jo%C5%A1o%20paradumu%20un%20funkcion%C4%81lo%20sp%C4%93ju%20p%C4%93t%C4%ABjuma%20gala%20zi%C5%86ojums%202020.pdf.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Rancans E., Vrublevska J., Snikere S., Koroleva I., Trapencieris M. The point prevalence of depression and associated sociodemographic correlates in the general population of Latvia, Journal of Affective Disorders, 2014 Mar;156:104-10; https://www.spkc.gov.lv/lv/e-zurnals-par-atkaribas-problemam/aipap81.pdf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Nacionālā veselības dienesta Vadības informācijas sistēmas dati par 2019.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veselības pamatnostādnes 2021.–2027. gadam, https://likumi.lv/ta/id/332751-sabiedribas-veselibas-pamatnostadnes-2021-2027-gadam.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Slimību profilakses un kontroles centra dati, https://statistika.spkc.gov.lv/pxweb/lv/Health/Health__Mirstiba/MOR20_Iedz_mirstiba_dzimumu_sadalijuma.px/table/tableViewLayout2/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Veselības aprūpes statistikas gadagrāmata, SPKC, 2018, https://statistika.spkc.gov.lv/pxweb/lv/Health/Health__Mirstiba/PZMG20_PZMG_celoni_dzimumi.px/table/tableViewLayout2/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noteikta viena vadošā iestāde psihiskās veselības aprūpes jomā, kas izstrādātu vienotus profilakses, diagnostikas, ārstēšanas un tās pēctecības principus. Psihiskās veselības aprūpes jomā nav vienotu pamatprincipu infrastruktūrai un funkcionalitātei, kā arī nacionālam redzējumam.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noteiktas kopējās prasības veselības aprūpes iestādēm un ārstēšanas procesam, tomēr šobrīd novērojams vienotu prasību trūkums tieši noteiktu veselības aprūpes jomu ietvaros - novērojama atšķirīga prasību interpretācija un pieeja pakalpojumu sniegšanā. Ir dažādas pieejas pacientu ārstēšanā, sadarbība starp iesaistītajām pusēm ir pilnveidojama, tādējādi ir nepieciešams izveidot un nodrošināt tādu veselības aprūpes pakalpojuma infrastruktūru un sniegšanu, kas atbilstu noteiktām kvalitātes, efektivitātes un drošības prasībām. Attīstoties medicīnai kopumā un pilnveidojot ārstniecības procesu, mūsdienās būtiski ir veikt visaptverošu pacientu ārstēšanas un aprūpes infrastruktūras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organizēšanas uzlabošanas plānā 2023. – 2025. gadam [1] norādītas trīs īstermiņa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stacionāra psihiskās veselības aprūpes pakalpojumu noteikšana atbilstoši sniedzamo pakalpojumu līmeņiem. Gan stacionārā, gan ambulatorā ārstēšanas procesā šobrīd nav pietiekami iesaistīta multidisciplinārā komanda, nav pietiekama sadarbība starp psihiatriem, citām ārstniecības procesā iesaistītajām ārstniecības personām un pašvaldību sociālajiem dienestiem. Lai nodrošinātu vienādas kvalitātes ārstniecības pakalpojumus visos valsts apmaksātajos pakalpojumos neatkarīgi no to atrašanās vietas, jānosaka optimālais speciālistu un posteņu skaits psihiatriskā profila nodaļās, kā arī skaidrāk jānosaka rehabilitācijas pasākumi stacionārās ārstēšanas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savlaicīgas agrīnas uzvedības un psihisko traucējumu diagnostikas izveide bērniem, kas palīdzētu savlaicīgāk piesaistīt nepieciešamos speciālistu un uzsākt ārstēšanu, lai savlaicīgi uzlabot bērna veselības stāvokli un nodrošināt nepieciešamo atbalstu bērnam un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ambulatoro un sabiedrībā balstītu pakalpojumu attīstība, lai cilvēki varētu piekļūt palīdzībai, pēc iespējas saglabājot iespēju palikt savā ierastajā sociālajā, darba, izglītības vidē. Šādu pakalpojumu attīstība ļautu arī mazināt gultasvietu skaitu psihiatriskā profila slimnīcās. Latvijā 2021. gadā psihiatriskā profila gultasvietu skaits uz 100 000 iedzīvotājiem bija 110,7. Saskaņā ar Pasaules Veselības organizācijas rekomendācijām, psihiatriskā profila gultasvietu skaitam nebūtu jāpārsniedz 50 gultas uz 100 000 iedzīvotāju. Salīdzinājumam - Beļģijā vidējais gultasvietu skaits 2021. gadā uz 100 000 iedzīvotāju psihiatriskā profila slimnīcās ir 141,1, Itālijā - 8 [2], bet vidēji Eiropā – 73,2. Galvenokārt, šāds augsts gultasvietu skaits ir skaidrojams ar ierobežotu piekļūstamību kvalitatīviem ambulatorajiem psihiskās veselības pakalpojumiem un nepietiekami attīstītām sabiedrībā balstītām kompleksām psihiskās veselības aprūpes pakalpojumu programmām, kā rezultātā pacienti savlaicīgi nenonāk ambulatorās aprūpes speciālistu redzeslokā. Sabiedrībā balstītas pieejas attīstīšana nodrošinātu savlaicīgu psihiskās veselības un uzvedības traucējumu identificēšanu, ietverot bio-psiho-sociālo modeli un nepieciešamā atbalsta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Psihiskās veselības aprūpes organizēšanas uzlabošanas plāns 2023. – 2025. gadam ir veidots, koncentrējoties uz ambulatorās aprūpes un sabiedrībā balstītu pakalpojumu stiprināšanu un izveidi, kā arī </w:t>
      </w:r>
      <w:r w:rsidR="00000000" w:rsidRPr="00000000" w:rsidDel="00000000">
        <w:rPr>
          <w:b w:val="1"/>
          <w:rtl w:val="0"/>
        </w:rPr>
        <w:t xml:space="preserve">metodiskās vadības ieviešanu valsts sniegtajiem pakalpojumiem</w:t>
      </w:r>
      <w:r w:rsidR="00000000" w:rsidRPr="00000000" w:rsidDel="00000000">
        <w:rPr>
          <w:rtl w:val="0"/>
        </w:rPr>
        <w:t xml:space="preserve">, lai iedzīvotāji saņemtu līdzvērtīgus pakalpojumus, neatkarīgi no to sniegšanas vietas. Ilgtermiņā nodrošinot ambulatorās aprūpes attīstību un sabiedrībā balstītu pakalpojumu veidošanu pacientiem ar psihiskās veselības un uzvedības traucējumiem, Veselības ministrija pakāpeniski plāno samazināt stacionāro gultu skaitu psihiatriskā profila slimnīcās līdz 20 % apjomā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augusta Ministru kabineta noteikumu Nr. 555 “Veselības aprūpes pakalpojumu organizēšanas un samaksas kārtība” (turpmāk - MK noteikumi Nr. 555) 5.4. apakšpunkts nosaka, ka Nacionālais veselības dienests slēdz līgumus ar ārstniecības iestādi par organizatoriski metodiskā darba nodrošināšanu. Līgumu slēdz ar ārstniecības iestādi, kura ir specializējusies attiecīgo veselības aprūpes pakalpojumu sniegšanā, tomēr šobrīd netiek noteiktas prasības, kuras sasniedzot ārstniecības iestāde var nodrošināt metodisko vadību kādā no prioritārajām veselības aprūpes jomām, tādējādi radot neskaidrību un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metodiskās vadības institūcijas statusa piešķiršanas kritērijus un kārtību, institūcijas tiesības un pienākumus noteiktajā veselības aprūpes jomā, kā arī noteikumus publisku līdzekļu ieguldīšanai metodiskās vadības institūcijā tās darbības nodrošināšanai, 2024. gada 3. janvārī stājās spēkā grozījumi Ārstniecības likumā, kas paredz metodikās vadības institūciju izveidi, un tiek izstrādāti Ministru kabineta noteikumi “Metodiskās vadības institūcijas noteikumi”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psihiskās veselības ārstniecības iestāžu attīstībai vērstas uz Eiropas Savienības padomes rekomendācijām Latvijai 2019. gadam veselības jomā, kā arī Sabiedrības veselības pamatnostādnēs 2021. – 2027. gadam [4] un Psihiskās veselības aprūpes organizēšanas uzlabošanas plānā 2023. –2025. gadam [5] paredzēto mērķu sasniegšanu, kā arī Profilakses pasākumu un veselības aprūpes pakalpojumu uzlabošanas plānu alkoholisko dzērienu un narkotisko vielu lietošanas izplatības mazināšanas jomā 2023. – 2025. gadam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https://www.vestnesis.lv/op/2022/245.19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EUROSTAT; Hospital beds by function and type of care, 2021 (File:Hospital beds by function and type of care, 2021 Health2023.png - Statistics Explained (europa.eu))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https://tapportals.mk.gov.lv/legal_acts/39812f1a-1bf8-4ab9-8bc5-9b822a4e199d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https://likumi.lv/ta/id/332751-sabiedribas-veselibas-pamatnostadnes-2021-2027-gadam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https://likumi.lv/ta/id/338032-par-psihiskas-veselibas-aprupes-organizesanas-uzlabosanas-planu-20232025-gadam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https://likumi.lv/ta/id/336736-par-profilakses-pasakumu-un-veselibas-aprupes-pakalpojumu-uzlabosanas-planu-alkoholisko-dzerienu-un-narkotisko-vielu-lietosanas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psihiskās veselības aprūpes pakalpojumu kvalitāti, plānots ieviest metodisko vadību, tādējādi nodrošinot iedzīvotājiem iespēju saņemt līdzvērtīgus pakalpojumus – gan satura, gan kvalitātes ziņā neatkarīgi no to sniegšanas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īstenota Eiropas Savienības kohēzijas politikas programmas 2021. – 2027. gadam 4.1.1. specifiskā atbalsta mērķa "Nodrošināt vienlīdzīgu piekļuvi veselības aprūpei un stiprināt veselības sistēmu, tostarp primārās veselības aprūpes noturību" (turpmāk – SAM) 4.1.1.1. pasākuma "Ārstniecības iestāžu infrastruktūras attīstība" trešā kārta (turpmāk –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18. un 86. pantā noteikto 4.1.1. SAM elastības finansējums tiek noteikts 4.1.1.2. pasākuma ietvaros, attiecīgi 4.1.1.2. pasākumam noteikts pieejamais un plānotais finansējums. Veselības ministrija kā atbildīgā iestāde (turpmāk – atbildīgā iestāde), pēc Eiropas Komisijas (turpmāk – EK) lēmuma par vidusposma pārskatu, var ierosināt palielināt 4.1.1.2. pasākumam pieejamo kopējo finansējumu līdz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94"/>
        <w:gridCol w:w="4875"/>
        <w:gridCol w:w="1574"/>
        <w:gridCol w:w="1495"/>
        <w:tblGridChange w:id="0">
          <w:tblGrid>
            <w:gridCol w:w="1094"/>
            <w:gridCol w:w="4875"/>
            <w:gridCol w:w="1574"/>
            <w:gridCol w:w="14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(ieskaitot elastības finansējumu),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r w:rsidR="00000000" w:rsidRPr="00000000" w:rsidDel="00000000">
              <w:rPr>
                <w:sz w:val="24"/>
                <w:rtl w:val="0"/>
              </w:rPr>
              <w:t xml:space="preserve"> </w:t>
            </w:r>
            <w:r w:rsidR="00000000" w:rsidRPr="00000000" w:rsidDel="00000000">
              <w:rPr>
                <w:sz w:val="24"/>
                <w:b w:val="1"/>
                <w:rtl w:val="0"/>
              </w:rPr>
              <w:t xml:space="preserve">(BEZ elastības finansējuma)</w:t>
            </w:r>
            <w:r w:rsidR="00000000" w:rsidRPr="00000000" w:rsidDel="00000000">
              <w:rPr>
                <w:sz w:val="24"/>
                <w:rtl w:val="0"/>
              </w:rPr>
              <w:t xml:space="preserve">,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infrastruktūras attīstība (1. - 5.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70 799 482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31 119 533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saņēmējs ir valsts sabiedrība ar ierobežotu atbildību (turpmāk – VSIA) “Rīgas psihiatrijas un narkoloģijas centrs”. Saskaņā ar Psihiskās veselības aprūpes organizēšanas uzlabošanas plānā 2023. – 2025. gadam minēto, līgums par metodiskās vadības nodrošināšanu tiks slēgts ar VSIA “Rīgas psihiatrijas un narkoloģijas centrs”, jo šī ārstniecības iestāde sniedz vislielāko veselības aprūpes pakalpojumu klāstu pacientiem ar psihiskās veselības un uzvedības traucējumiem, kā arī nodrošina jauno speciālistu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ārstniecības iestāde būtu kompetenta nodrošināt metodisko vadību, Ministru kabineta noteikumu “Metodiskās vadības institūcijas noteikumi” projektā iekļauti kritēriji, kas nosaka, ka metodiskās vadības institūcijas jomā ārstniecības iestāde nodrošina nepieciešamo veselības aprūpes pakalpojumu sniegšanu procentuāli lielākajai pacientu daļai, kā arī ārstniecības iestāde metodiskās vadības institūcijas jomā nodrošina plašāko pakalpojumu apjomu valstī. Ņemot vērā, ka metodiskās vadības institūcijai ir būtiska loma zināšanu pārnesē un inovatīvu risinājumu ieviešanā, būtiska ir arī sasaiste ar izglītības iestādēm, tālākizglītības nodrošināšanu nozares speciālistiem, zinātnisko darbību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veidota metodiskās vadības infrastruktūras platforma, lai varētu īstenot metodiskās vadības procesu. Atbilstoši izstrādes stadijā esošajiem Ministru kabineta noteikumiem “Metodiskās vadības institūcijas noteikumi” infrastruktūras platformas izveide tiek plānota valsts pārvaldes funkcijas nodrošināšanai un tā nav vērtējama kā saimnieciskās darbības veikšana. Savukārt, metodiskās vadības nodrošināšanai starp Veselības ministriju, Nacionālo veselības dienestu un ārstniecības iestāde slēgs līgumu par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sadarbības partneru statusā pasākumā var piesaistīt atbilstoši MK noteikumu Nr. 555 6. pielikumā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 VSIA “Rīgas psihiatrijas un narkoloģijas centrs”, būdams atbildīgs par metodiskās vadības nodrošināšanu valsts sniegtajiem pakalpojumiem psihiskās veselības jomā, izstrādās plānu un kartējumu šīs funkcijas efektīvai nodrošināšanai. Attiecīgi, sagatavojot projekta iesniegumu, VSIA “Rīgas psihiatrijas un narkoloģijas centrs” izvērtēs, kuras no minētajām ārstniecības iestādēm projektā ir iesaistāmas sadarbības partneru statusā. Tāpat, ņemot vērā pieejamā finansējuma apjomu, tiks izvērtētas prioritārās īstenojamās būvniecības un medicīnas tehnoloģiju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iesaistot sadarbības partnerus (ja attiecināms), attīstīs infrastruktūru, lai nodrošinātu metodiskās vadības institūcijas funkciju īstenošanu,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nodrošinās vienotu veselības aprūpes pakalpojumu sniegšanas plānošanu un sniegšanu (kartējums);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sekmēs sadarbību ārstniecības personāla, infrastruktūras un tehnoloģiju plānošanā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nodrošinās konsultatīvu sadarbību un zināšanu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sekmēs izmaksu efektīvu resursu izmantošanu – pacients saņem savām vajadzībām nepieciešamo ārstēšanu savlaicīgi, attiecīgajā vietā, ar atbilstošu tehnoloģisko nodrošinājumu un attiecīgā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ir paredzēts stacionāro pakalpojumu ārstniecības iestādēm, kas sniedz arī ambulatoros pakalpojumus. Ir atbalstāma remontdarbu veikšana un medicīnisko iekārtu iegāde, lai attīstītu infrastruktūras, kas tiek izmantotas gan stacionāro, gan ambulatoro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specifiskā atbalsta mērķa ietvaros pārējām MK noteikumos Nr. 555 noteiktajām ārstniecības iestādēm, tiks noteikts atsevišķā regulējumā, ievērojot Nacionālajā attīstības plānā 2021. – 2027. gadam (https://www.pkc.gov.lv/sites/default/files/inline-files/NAP2027_apstiprin%C4%81ts%20Saeim%C4%81_1.pdf) un infrastruktūras investīciju stratēģijā noteikto.</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60"/>
        <w:gridCol w:w="6552"/>
        <w:gridCol w:w="2078"/>
        <w:tblGridChange w:id="0">
          <w:tblGrid>
            <w:gridCol w:w="560"/>
            <w:gridCol w:w="6552"/>
            <w:gridCol w:w="20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Infrastruktūras investīciju stratēģijā plānotais finansējums</w:t>
            </w:r>
            <w:r w:rsidR="00000000" w:rsidRPr="00000000" w:rsidDel="00000000">
              <w:rPr>
                <w:sz w:val="24"/>
                <w:rtl w:val="0"/>
              </w:rPr>
              <w:t xml:space="preserve">,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"Ārstniecības iestāžu infrastruktūras attīstība" 1 .- 5. kārta KOPĀ,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192 171 532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1. kārta (IV - V līmeņa un Valsts tiesu medicīnas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82 767 751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2. kārta (I - III līmeņa un pārējās slimnīcas)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15 089 807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3. kārta (Psihiatrijas profila 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7 957 886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4. kārta (Sekundāro ambulatoro veselības aprūpes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4 812 877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5. kārta (Divu posmu projekti)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81 543 211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 pasākums "P.Stradiņa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83 293 509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 pasākums "Primārās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12 307 060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 SAM ietvaros plānotais finansējums, izņemot 4.1.1.4. pasākumu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295 972 101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(Centrālā finanšu un līgumu aģentūra) pasākuma projektu iesniegumu atlases ietvaros organizē ierobežotu projektu iesniegumu atlasi, uzaicinot tajā piedalīties VSIA “Rīgas psihiatrijas un narkoloģijas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mērķis</w:t>
      </w:r>
      <w:r w:rsidR="00000000" w:rsidRPr="00000000" w:rsidDel="00000000">
        <w:rPr>
          <w:rtl w:val="0"/>
        </w:rPr>
        <w:t xml:space="preserve"> ir nodrošināt vienlīdzīgu piekļuvi psihiskās veselības aprūpei un stiprināt veselības sistēmu, attīstot psihiskās veselības aprūpes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mērķa grupa</w:t>
      </w:r>
      <w:r w:rsidR="00000000" w:rsidRPr="00000000" w:rsidDel="00000000">
        <w:rPr>
          <w:rtl w:val="0"/>
        </w:rPr>
        <w:t xml:space="preserve"> ir visi Latvijas iedzīvotāji un ārstniecības iestādes, kas sniedz psihiskās veselības aprūpes pakalpojumus atbilstoši šo noteikumu 22. un 23.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iznākuma un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Specifiskā atbalsta mērķa iznākuma rādītājs ir “noslēgto līgumu īpatsvars par ieguldījumiem veselības aprūpes infrastruktūras objektos”, nodrošinot, ka līdz 2029. gada 31. decembrim noslēgti līgumi par projektu īstenošanu 100 procentu apmērā no specifiskā atbalsta mērķa pieejamā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4.1.1.1. pasākuma “Ārstniecības iestāžu infrastruktūras attīstība” trešās kārtas ietvaros uzlabotās veselības aprūpes iestādes vismaz vienu reizi gada laikā apmeklēs 199 794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rezultāta rādītājs ir “personu skaits gadā, kuras izmanto jaunas vai modernizētas veselības aprūpes iestādes pakalpojumus”, nodrošinot, ka līdz 2029. gada 31. decembrim 181 631 personas gadā izmanto jaunas vai modernizētas veselības aprūpes iestādes pakalpojumus. Šī rādītāja izpildē ir ieskaitāmas personas, kuras apmeklējušas modernizētās veselības aprūpes iestādes - gan VSIA “Rīgas psihiatrijas un narkoloģijas centrs”, gan tās iestādes, kas projektā piesaistītas kā sadarbības partneri. Finansējuma saņēmējs datus par plānotiem un sasniegtiem rādītājiem uzkrāj un iesniedz par sevi un sadarbības partneriem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 – 2027. gadam pasākuma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1 082 272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1 352 841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4 329 090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6 764 203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6 764 203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6 764 203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6 764 203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piemērojams Makroreģionālā un jūras baseinu stratēģijas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projektu iesniegumu atlasi īsteno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atbildīgās iestādes funkcijas pilda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iesniedzējam un sadarbības partneriem (ja attiecināms), komercdarbības atbalsts tiek sniegts saskaņā ar 2011. gada 20. decembra Komisijas lēmumu 2012/21/ES par Līguma par ES darbību 106. panta 2. punkta piemērošanu valsts atbalstam attiecībā uz kompensāciju par sabiedriskajiem pakalpojumiem dažiem uzņēmumiem, kuriem uzticēts sniegt pakalpojumus ar vispārēju tautsaimniecisku nozīmi (turpmāk – VTNP) (turpmāk – Eiropas Komisijas lēmums Nr.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un Eiropas Komisijas lēmuma Nr.2012/21/ES galvenais deleģētājs ir Nacionālais veselības dienests (turpmāk – pilnvarojuma uzlicējs), kurš Veselības ministrijas vārdā slēdz līgumus par valsts apmaksāto veselības aprūpes VTNP pakalpojumu īstenošanu un nodrošina VTNP un Eiropas Komisijas lēmuma Nr. 2012/21/ES prasību ievērošanu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atbilstoši normatīvajiem aktiem par veselības aprūpes organizēšanas un samaksas kārtību ir noslēdzis ar Nacionālo veselības dienestu deleģēšanas līgumu par valsts apmaksātajiem stacionārajiem un ambulatorajiem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dienu ir uzskatāma diena, kad sadarbības iestāde sniedz lēmumu par projekta apstiprināšanu vai sniedz atzinumu par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Eiropas Komisijas lēmuma Nr.2012/21/ES nosacījumu ievērošanas kontroli un uzraudzību nodrošina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uzlicējam un finansējuma saņēmējam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komercdarbības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13. jūlija Ministru kabineta noteikumu Nr. 408 “Kārtība, kādā Eiropas Savienības fondu vadībā iesaistītās institūcijas nodrošina šo fondu ieviešanu 2021. – 2027. gada plānošanas periodā” protokollēmumā noteikto -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pievienotās vērtības nodokli (turpmāk - PVN)) pārsniedz 1 miljonu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27. punktā noteiktajam projekta iesniedzējs atbilstoši sadarbības iestādes izstrādātajiem metodiskajiem norādījumiem veic izmaksu un ieguvumu analīzi un pievieno to projekta iesniegumam.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atbalstāmo darbību ietvaros ir attiecināmas ļoti dažādas gan ar būvniecību, gan tehnoloģiju iegādi, piegādi un montāžu saistītas izmaksas, kuras attiecināmas uz konkrētu ārstniecības iestādes infrastruktūras struktūrvienību, kā arī ārstniecības iestādes savā starpā atšķiras ar sniegto pakalpojumu apjomu, līmeni un ārstniecības profilu, nav iespējams izstrādāt un piemērot vienkāršotās izmaksas. Nākotnē, ja par būvniecību kompetentās iestādes sadarbībā ar sadarbības iestādi un / vai Finanšu ministriju izstrādās, piemēram, horizontālas vienas vienības izmaksas būvdarbiem, Veselības ministrija varētu izvērtēt šādu vienkāršoto izmaksu piemērošanas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kad būs uzkrāti pietiekami daudz datu par projekta darbību izmaksām, Veselības ministrija atkārtoti izvērtēs iespējas vienkāršoto izmaksu piemērošanai šai projektā. Tāpat, ja projekta ietvaros tiks attiecinātas projekta vadības nodrošināšanas izmaksas, to dati tiks izmantoti vienotās likmes noteikšanai vadības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atbalsts piešķirams tikai infrastruktūras, kurā tiek nodrošināti valsts apmaksātie veselības aprūpes pakalpojumi, attīstībai, tādejādi finansējuma saņēmējam un sadarbības partneriem ir pienākums aprēķināt infrastruktūras izmantošanas atbalstāmo darbību proporciju valsts apmaksāto veselības aprūpes pakalpojumu sniegšanai un citu darbību veikšanai (turpmāk - infrastruktūras izmantošanas proporcija) un piemērot to projekta finansējumam, nosakot publiskā un privātā finansējuma apmēru. Proporcionāli infrastruktūras izmantošanai citiem mērķiem (maksas pakalpojumiem) paredzēts piesaistīt pašu privāto līdzfinansējumu, tādejādi nodrošinot godīgu konkurenci un neietekmējot tirgus dalībniekus, ar to, ka publiska nauda tiek dota ne tikai valsts apmaksātu (publisku) veselības aprūpes pakalpojumu sniegšanai, bet arī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aprēķina metodiku izstrādā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infrastruktūras izmantošanas proporcijas aprēķinu iesniedz sadarbības iestādei, iesniedzot projekta iesniegumu un iesniedzot projekta noslēguma maksājuma pieprasījumu. Finansējuma saņēmējs infrastruktūras izmantošanas proporciju iesniedz gan par savu, gan sadarbības partneru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piemērošanu uzrauga sadarbības iestāde. Izvērtējot projekta iesniegumu un pārbaudot projekta noslēguma maksājuma pieprasījumu, sadarbības iestāde proporciju pārbauda atsevišķi finansējuma saņēmējam un katram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līguma par projekta īstenošanu noslēgšanas palielinās projekta publisko izmaksu maksimālais apmērs, atbalsta sniedzējs kopējās publiskās projekta attiecināmās izmaksas nepalielina. Finansējuma saņēmējs, iesniedzot projekta noslēguma maksājuma pieprasījumu, nodrošina, ka aprēķinātais projekta kopējais publisko izmaksu maksimālais apmērs atbilst piešķirtajam kopējam publisko izmaksu maksimālajam apmēram, palielinot šo noteikumu noteikto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ERAF finansējuma, ievērojot, ka avansu var izmaksāt vairākos maksājumos un avansa un starpposma maksājumu kopsumma nepārsniedz 90 procentus no projektam piešķirtā ERAF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infrastruktūras, kurā tiek nodrošināta valsts apmaksāti psihiskās veselības aprūpes pakalpojumi, attīstības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iegāde, piegāde un 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un vizuālās identitātes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“projekta vadības nodrošināšana”</w:t>
      </w:r>
      <w:r w:rsidR="00000000" w:rsidRPr="00000000" w:rsidDel="00000000">
        <w:rPr>
          <w:rtl w:val="0"/>
        </w:rPr>
        <w:t xml:space="preserve"> ietvaros ir attiecināmas finansējuma saņēmēja un sadarbības partneru (ja attiecināms) projekta vadības personāla izmaksas, kas radušās uz darba līguma vai uzņēmuma līguma pamata, tai skaitā normatīvajos aktos noteiktās piemaksas un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tiešās attiecināmās projekta vadības personāla izmaksas Eiropas Reģionālās attīstības fonda daļai nepārsniedz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personāla iesaisti projektā nodrošina saskaņā ar daļlaika attiecināmības principu (attiecināms, ja izmaksas radušās uz darba līguma pamata), attiecināma ir ne mazāka kā 30 procentu noslodze.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nodrošināšanai paredzētais finansējums tiek noteikts no finansējuma saņēmēja un sadarbības partneru plānotajām darbībām, katram atsevišķi. Finansējuma saņēmējs nodrošina jomas pārraudzību, t.i., nosaka, kuras ārstniecības iestādes projektā tiks iesaistītas kā sadarbības partneri, kādas būvniecības darbības tiks veiktas un kuras medicīnas tehnoloģijas tiks iegādātas, lai sekmīgāk nodrošinātu valsts sniegtos pakalpojumus psihiskās veselības jomā. Paredzētos infrastruktūras ieguldījumus gan finansējuma saņēmējs, gan sadarbības partneri veic atsevišķi. Finansējuma saņēmējs, iesaistot sadarbības partnerus nodrošina vienotu veselības aprūpes pakalpojumu sniegšanas plānošanu un sniegšanu (kartējums), t.sk. norādot sadarbības partneru lomu pakalpojumu piekļūstamības uzlabošanā, kā arī sekmē sadarbību ārstniecības personāla, infrastruktūras un tehnoloģiju plānošanā un izmantošanā (tai skaitā raksturotas telpu un iekārtu vajadzības un to izmantošanas optimizācija, nodrošinot pacientam nepieciešanā pakalpojuma piekļūstamību un efektivitāti). Tas paredz, ka pirms projekta iesnieguma iesniegšanas finansējuma saņēmējs, sadarbībā ar sadarbības partneriem, ir definējis konkrētas būvniecības un tehnoloģiju iegādes vajadzības, pamatojoties uz kurām finansējuma saņēmējs un sadarbības partneri izstrādā nepieciešamo iepirkumu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“būvniecība” </w:t>
      </w:r>
      <w:r w:rsidR="00000000" w:rsidRPr="00000000" w:rsidDel="00000000">
        <w:rPr>
          <w:rtl w:val="0"/>
        </w:rPr>
        <w:t xml:space="preserve">ietvaros atļauts attīstīt infrastruktūru ar ārstniecību saistītās struktūrvienībās un tikai ārstniecības procesa tiešai nodrošināšanai. Ir attiecināmas būvprojekta minimālā sastāvā un būvprojekta izstrādes izmaksas, funkcionālā plānojuma un tehniskās specifikācijas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 ar nosacījumu, ka tās nepārsniedz 10 procentus no projekta kopējām attiecināmajām izmaksām, un būvniecības izmaksas, tajā skaitā demontāžas izmaksas un izmaksas, kas saistītas ar objektu nodošanu ekspluatācijā – ir attiecināmas visas ar būvniecību saistītās izmaksas saskaņā ar Būvniecības likumu. Atbilstoši Būvniecības likumam būvdarbi ir - būvniecības procesa sastāvdaļa, darbi, kurus veic būvlaukumā vai būvē, lai radītu būvi, novietotu iepriekš izgatavotu būvi vai tās daļu, pārbūvētu, atjaunotu, restaurētu, iekonservētu, nojauktu būvi vai ierīkotu inženiertīklu. Savukārt būvniecība ir - visu veidu būvju projektēšana un būvdarbi. Būvniecības likuma 3. pants noteic - darbības jomu – proti, likumu piemēro jaunu būvju būvniecībai, kā arī esošu būvju pārbūvei, atjaunošanai, restaurācijai, nojaukšanai, novietošanai, lietošanas veida maiņai bez pārbūves un konservācijai.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“tehnoloģiju iegāde, piegāde un montāža”</w:t>
      </w:r>
      <w:r w:rsidR="00000000" w:rsidRPr="00000000" w:rsidDel="00000000">
        <w:rPr>
          <w:rtl w:val="0"/>
        </w:rPr>
        <w:t xml:space="preserve"> ietvaros ir attiecināmas ārstniecības procesam tieši nepieciešamo tehnoloģiju piegādes (t.sk. iegādes, piegādes un montāžas) izmaksas, proti medicīniskās tehnoloģijas, t.sk. iebūvējamās medicīniskās tehnoloģijas, iekārtas, ierīces, mēbeles, un aprīkojums, cits aprīkojums telpu funkcionalitātes nodrošināšanai, kā arī informācijas tehnoloģiju aprīkojums (piemēram, datori, printeri, rindu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projektā, attiecinot medicīniskās tehnoloģijas, kuru vienas vienības piegādes izmaksas pārsniedz 20 000 </w:t>
      </w:r>
      <w:r w:rsidR="00000000" w:rsidRPr="00000000" w:rsidDel="00000000">
        <w:rPr>
          <w:i w:val="1"/>
          <w:rtl w:val="0"/>
        </w:rPr>
        <w:t xml:space="preserve">euro </w:t>
      </w:r>
      <w:r w:rsidR="00000000" w:rsidRPr="00000000" w:rsidDel="00000000">
        <w:rPr>
          <w:rtl w:val="0"/>
        </w:rPr>
        <w:t xml:space="preserve">(ar PVN), nepieciešams Veselības ministrijas saskaņojums. Tehnoloģiju saskaņojums tiek veikts pēc tehnoloģijas atbilstības konkrēto valsts apmaksāto pakalpojumu sniegšanai atbilstoši ārstniecības iestādes līmenim vai pakalpojumu veidiem un apjomiem, tiek vērtēta cilvēkresursu pieejamība darbam ar konkrēto tehnoloģiju, tiek vērtēta atbilstība tehnoloģiju kartējumam atbilstoši ar Veselības ministrijas 2020. gada 9. janvāra rīkojumu Nr. 5 izveidotās darba grupas “Darba grupas medicīnisko ierīču racionāla ģeogrāfiskā izvietojuma noteikšanai un pieejamības uzlabošanai” ziņojumā minēto tehnoloģiju izvērtējumu. Saskaņojums vajadzīgs tehnoloģijas attiecināmības brīdī. Pie projekta iesnieguma iesniegšanas tehnoloģiju saskaņojums nav nepieciešams. Projekta iesniedzējs projekta iesniegumā norāda, kādas tehnoloģijas plānots iegādāties, un tad, kad zināmi tehnoloģiju parametri, tās var skaņot tehnoloģiju komisijā. Attiecīgi, ja saskaņojums veikts, tehnoloģiju izmaksas var tikt attiecināts uz projektu. Medicīnas tehnoloģijām, kuru vienas vienības piegādes izmaksas nepārsniedz 20 000 </w:t>
      </w:r>
      <w:r w:rsidR="00000000" w:rsidRPr="00000000" w:rsidDel="00000000">
        <w:rPr>
          <w:i w:val="1"/>
          <w:rtl w:val="0"/>
        </w:rPr>
        <w:t xml:space="preserve">euro</w:t>
      </w:r>
      <w:r w:rsidR="00000000" w:rsidRPr="00000000" w:rsidDel="00000000">
        <w:rPr>
          <w:rtl w:val="0"/>
        </w:rPr>
        <w:t xml:space="preserve"> (ar PVN), Veselības ministrijas tehnoloģiju saskaņojums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“komunikācijas un vizuālās identitātes prasību nodrošināšana”</w:t>
      </w:r>
      <w:r w:rsidR="00000000" w:rsidRPr="00000000" w:rsidDel="00000000">
        <w:rPr>
          <w:rtl w:val="0"/>
        </w:rPr>
        <w:t xml:space="preserve"> ietvaros ir attiecināmas informācijas un publicitātes nodrošināšanas izmaksas atbilstoši regulas Nr. 2021/1060 47. un 50. pantā noteiktajām prasībām, kā arī atbilstoši normatīvajiem aktiem par ES fondu ieviešanu 2021. – 2027. gada plānošanas periodā, kā arī ievēro saistītās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atbalstāmo darbību īstenošanai ir attiecināmas neparedzētās izmaksas līdz diviem procentiem no projekta kopējām tiešajām attiecināmajām izmaksām. Neparedzētās izmaksas ir izmaksas par papildu darbu vai pakalpojumu veikšanu, kas neparedzamu apstākļu dēļ ir kļuvušas nepieciešamas, lai varētu nodrošināt par projekta īstenošanu noslēgto līgumu izpildi, ja finansējuma saņēmējs veicis visus plānošanas pasākumus, lai šādus apstākļus novērstu. Pasākuma ietvaros paredzēts atbalsts esošu ēku atjaunošanai vai pārbūvei, pielāgojot tās veselības aprūpes pakalpojuma sniegšanai iedzīvotājiem.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nodokļa maksājumi, kas tiešā veidā saistīti ar projektu, ir attiecināmās izmaksas, ja finansējuma saņēmējs tos nevar atgūt atbilstoši normatīvajiem aktiem par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Izdevumi ir attiecināmi nolūkā saņemt iemaksas no fondiem, ja tie saņēmējam vai PPP darbības privātā sektora partnerim radušies un apmaksāti darbību īstenošanas gaitā laikposmā no dienas, kad programma iesniegta Komisijai, vai no 2021. gada 1. janvāra – atkarībā no tā, kurš no minētajiem datumiem ir agrāk, –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tās atbilst šajos noteikumos minētajām izmaksu pozīcijām un tās ir radušās ne agrāk par 2021.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infrastruktūras uzlabošanai ārstniecības iestādēs noteikts izdevumu attiecināmības termiņš pirms līgumu par projekta parakstīšanas, jo atbalsts plānots ierobežotas projektu iesniegumu atlases ietvaros ārstniecības iestādēm, kas nodrošina valsts apmaksātu veselības aprūpes pakalpojumu sniegšanu, attiecīgi investīciju kavējums var apdraudēt veselības aprūpes pakalpojumu sniegšanu nepietiekamas infrastruktūras dēļ. Tādejādi, izvērtējot visus riskus, ERAF atbalstam tiek piemērots nosacījums, ka investīcijas var uzsākt ātrāk nekā atbalsts piešķirts. Papildus atbalsts tiek sniegts konkrēta līmeņa ārstniecības iestādei atbilstoši MK noteikumiem Nr. 555, līdz ar to nav riska, ka varētu tikt ieguldīts neatbilstoši, tāpat tehnoloģiju iegādes tiek saskaņotas ar Veselības ministriju. Šāda pieeja veicina veselības aprūpes kvalitāti un piekļūstamību, kā arī nodrošina ES fondu N+3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neiekļauj un finansējumu nepiešķir darbībām, kas pabeigtas pirms projekta iesnieguma iesniegšanas sadarbības iestādē (t.i., piemēram, būvdarbi nedrīkst būt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komisijā sadarbības iestāde iekļauj arī pārstāvi no Veselības ministrijas kā vadošās valsts pārvaldes iestādes veselības nozarē un Nacionālā veselības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norādījumos par horizontālā principa “Nenodarīt būtisku kaitējumu” piemērošanu (Commission explanatory note “Application of the “Do no significant harm” principle under Cohesion policy”) 6. sadaļā norādīts, ka Kohēzijas politikas investīciju ietvaros nav obligātas prasības veikt horizontālā principa “Nenodarīt būtisku kaitējumu” novērtējumu katra projekta/ darbību ietvaros, bet gan pārliecināties, ka projektā plānotās darbības atbilst tām darbībām, kas iekļautas ES kohēzijas politikas programmā 2021.-2027.gadam iekļautajiem specifiskajiem atbalsta mērķiem un plānošanas stadijā veiktajam horizontālā principa “Nenodarīt būtisku kaitējumu”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ir izskatījusi esošo horizontālā principa “Nenodarīt būtisku kaitējumu” novērtējumu par 4.1.1. SAM un konstatējusi, ka tajā nav paredzētas specifiskas prasības 4.1.1.1. pasākuma "Ārstniecības iestāžu infrastruktūras attīstība" 3. kārtai, kā arī ministrija nav plānojusi noteikt šai kārtai papildus nosacījumus, kas pārsniedz Latvijas nacionālajā horizontālajā regulējumā jau noteikto prasību ievērošanu, piemēram, prasība Zaļajam publiskajam iepirkumam (Ministru kabineta 2017. gada 20. jūnija noteikumi Nr. 353 “Prasības zaļajam publiskajam iepirkumam un to piemērošanas kārtība”), pienākums valsts iestādei, pašvaldībai un citai atvasinātai publiskai personai ziņot par iegūto enerģijas ietaupījumu pēc energopārvaldības sistēmas ieviešanas (Energoefektivitātes likums), prasības attiecībā uz ēku energoefektivitāti (Ministru kabineta 2021. gada 8. aprīļa noteikumi Nr. 222 “Ēku energoefektivitātes aprēķina metodes un ēku energosertifikācijas noteikumi”)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horizontālā principa </w:t>
      </w:r>
      <w:r w:rsidR="00000000" w:rsidRPr="00000000" w:rsidDel="00000000">
        <w:rPr>
          <w:b w:val="1"/>
          <w:rtl w:val="0"/>
        </w:rPr>
        <w:t xml:space="preserve">"Vienlīdzība, iekļaušana, nediskriminācija un pamattiesību ievērošana"</w:t>
      </w:r>
      <w:r w:rsidR="00000000" w:rsidRPr="00000000" w:rsidDel="00000000">
        <w:rPr>
          <w:rtl w:val="0"/>
        </w:rPr>
        <w:t xml:space="preserve"> īstenošanu un uzkrāj datus par šādiem horizontālā principa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ERAF ieguldījumu rezultātā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vides un informācijas piekļūstamības pašnovērtējuma rezultāts, atbilstoši LM izstrādātajai metodikai un pašnovērtējumā iegūtais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uzkrāj datus par faktiski sasniegtiem šo noteikumu 10.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rādītāju datu uzkrāšanu un ziņošanu Kohēzijas politikas fondu vadības informācijas sistēmā (turpmāk – KPVIS), norādām, ka šo rādītāju aktuālās vērtības tiks manuāli aprēķinātas, apkopotas un ievadītas KPVIS. Rādītāju uzskaiti un aktuālo datu ievadi nodrošinās atbildīgā iestāde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izstrādājot nosacījumus, kā tas pārliecinās par interešu konflikta, krāpšanas un korupcijas risku neesību, izvērtēs, pielāgos un ietvers prasības atbilstoši Ministru kabineta 2017. gada 17. oktobra noteikumos Nr. 630 "Noteikumi par iekšējās kontroles sistēmas pamatprasībām korupcijas un interešu konflikta riska novēršanai publiskas personas institūcijā" noteiktajam. Papildus, iekšējās kārtības izstrādē tiks izmantotas Korupcijas novēršanas un apkarošanas biroja 2018. gadā izstrādātās vadlīnijas “Vadlīnijas par iekšējās kontroles sistēmas pamatprasībām korupcijas un interešu konflikta riska novēršanai publiskas personas institūcijā” (pieejamas: https://www.knab.gov.lv/lv/informativie-un-metodiskie-materiali).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projektu īsteno saskaņā ar līgumu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demarkāciju un dubulto finansējumu, demarkācija veselības jomas investīcijām tiek nodrošināta trijos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Stratēģiskās plānošanas līmenī (Sabiedrības veselības pamatnostādnēs 2021. - 2027. gadam un specifiskajos veselības jomas apakšnozaru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plānošanas līmenī (veselības nozares infrastruktūras investīciju stratēģijā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Operacionālajā līmenī (projektu vērtēšanas posmā, t.sk. paredzot attiecīgus projektu iesniegumu vērtēšanas kritērijus darbības programmas projektiem, kā arī nodrošinot visu investīciju augsto tehnoloģiju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konstatējama sinerģija un papildinātība ar projekta Nr. 9.3.2.0/21/I/002 "Veselības aprūpes infrastruktūras attīstība" ietvaros veiktajām darbībām. Tā ietvaros tika attīstīta Valsts sabiedrības ar ierobežotu atbildību „Rīgas psihiatrijas un narkoloģijas centrs” infrastruktūra, lai nodrošinātu esošo funkciju izpildi un turpmāk nodrošinātu pieejamu, vispusīgu un pēctecīgu augsta standarta specializētu garīgās veselības (psihisko un atkarības slimību) ambulatoro aprūpi atbilstoši Pasaules Veselības organizācijas un Eiropas Padomes nostādnēm primārās, sekundārās un terciārās veselības aprūpes jomā. Projekta īstenošanas ilgums plānots no 2021. gada trešā ceturkšņa līdz 2024. gada trešajam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plānoto 4.1.1.1. pasākuma 3. kārtas ietekmi uz tautsaimniecību, t.sk. norādot pēc iespējas izmērāmus faktiski sagaidāmos rezultātus/ rādītājus, skaidrojam, ka pasākuma ietvaros īstenotās investīcijas ir vērstas uz Latvijas Nacionālajā attīstības plānā 2021. – 2027. gadam noteiktajiem mērķiem, proti, sabiedrības veselības politikas rezultatīvo rādītāju sasniegšanu, atbilstoši – mirstības no pašnāvībām un potenciāli zaudēto mūža gadu samazināšanu: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621"/>
        <w:gridCol w:w="1534"/>
        <w:gridCol w:w="1447"/>
        <w:gridCol w:w="1436"/>
        <w:tblGridChange w:id="0">
          <w:tblGrid>
            <w:gridCol w:w="4621"/>
            <w:gridCol w:w="1534"/>
            <w:gridCol w:w="1447"/>
            <w:gridCol w:w="14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Progresa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Mirstība no pašnāvībām uz 100 000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Potenciāli zaudētie mūža gadi uz 100 000 iedzīvotāju līdz 64</w:t>
            </w:r>
            <w:r w:rsidR="00000000" w:rsidRPr="00000000" w:rsidDel="00000000">
              <w:rPr>
                <w:sz w:val="24"/>
                <w:b w:val="1"/>
                <w:rtl w:val="0"/>
              </w:rPr>
              <w:t xml:space="preserve">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pasākuma ietvaros īstenotās investīcijas ir vērstas uz Sabiedrības veselības pamatnostādnēs 2021. – 2027. gadam noteikto rezultatīvo rādītāju sasniegšanu – proti iedzīvotāju psihoemocionālās veselības uzlabošanos: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92"/>
        <w:gridCol w:w="1481"/>
        <w:gridCol w:w="1407"/>
        <w:gridCol w:w="1359"/>
        <w:tblGridChange w:id="0">
          <w:tblGrid>
            <w:gridCol w:w="4792"/>
            <w:gridCol w:w="1481"/>
            <w:gridCol w:w="1407"/>
            <w:gridCol w:w="13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Iedzīvotāju (15 - 74 g.v.) īpatsvars, kas izjutuši sasprindzinājumu, stresu un nomāktību pēdējā mēneša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Iedzīvotāju (15 - 74 g.v.) īpatsvars, kas izjutuši depresiju pēdējā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22,4 (2018)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plānots Darbības programmas 4. prioritātes “Sociālās iekļaušanas veicināšana” ietvaros, kas investīcijas pienesumu tautsaimniecībai atspoguļo kā sociālekonomisku ieguvumu, respektīvi, uzlabojot valsts apmaksātu veselības aprūpes pakalpojumu sniegšanas infrastruktūru, tiek nodrošināta savlaicīga, kvalitatīva un efektīva veselības aprūpe. Tas savukārt rada ietekmi uz tautsaimniecību, proti cilvēks mazāk slimo, ātrāk atveseļojas, samazinās invaliditātes iestāšanās risks, tiek pagarināts mūža ilgums un darbspējas vecums, kas atgriežas valsts budžetā ar nodokļu ieņēmumiem, un tiek samazināti nodokļu izdevumi par sarežģītām un nesavlaicīgi diagnosticētām kaitēm, slimības pabalstiem. Papildus skaidrojam, ka saskaņā ar MK noteikumu 27. punktu, projekta iesniedzējam, iesniedzot projekta iesniegumu, ir jāveic izmaksu un ieguvumu analīze, kas konkrētā projekta gadījumā atspoguļo ietekmi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“Rīgas psihiatrijas un narkoloģijas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"Daugavpils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“Slimnīca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"Strenču psihoneiroloģiskā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pildīs atbildīgās iestādes funkcijas, VSIA “Rīgas psihiatrijas un narkoloģijas centrs” pildīs finansējuma saņēmēja funkcijas, un pārējās VSIA - sadarbības partneru funkcijas, ja tās tiks piesaistītas sadarbības partneru statusā.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795 355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795 355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426 701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935 711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1 588 730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426 701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935 711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1 588 730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-238 310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-238 310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-238 310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-238 310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plānotais un pieejamais kopējais finansējums ir 7 957 886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ir 6 764 203 </w:t>
            </w:r>
            <w:r w:rsidR="00000000" w:rsidRPr="00000000" w:rsidDel="00000000">
              <w:rPr>
                <w:sz w:val="24"/>
                <w:i w:val="1"/>
                <w:rtl w:val="0"/>
              </w:rPr>
              <w:t xml:space="preserve">euro</w:t>
            </w:r>
            <w:r w:rsidR="00000000" w:rsidRPr="00000000" w:rsidDel="00000000">
              <w:rPr>
                <w:sz w:val="24"/>
                <w:rtl w:val="0"/>
              </w:rPr>
              <w:t xml:space="preserve"> un nacionālais finansējums, kas iekļauj valsts budžeta un privāto finansējumu, ir 1 193 683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plānots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 Visus minētos pasākumus plānots ieviest līdz 2029. gada 31. decembrim, tai skaitā paredzēts: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78"/>
              <w:gridCol w:w="594"/>
              <w:gridCol w:w="833"/>
              <w:gridCol w:w="912"/>
              <w:gridCol w:w="820"/>
              <w:gridCol w:w="939"/>
              <w:gridCol w:w="912"/>
              <w:gridCol w:w="859"/>
              <w:tblGridChange w:id="0">
                <w:tblGrid>
                  <w:gridCol w:w="1178"/>
                  <w:gridCol w:w="594"/>
                  <w:gridCol w:w="833"/>
                  <w:gridCol w:w="912"/>
                  <w:gridCol w:w="820"/>
                  <w:gridCol w:w="939"/>
                  <w:gridCol w:w="912"/>
                  <w:gridCol w:w="8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III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 + nacionālais fin.,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935 711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1 588 730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1 690 731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7 957 886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362 696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569 916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795 355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1 350 420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1 437 121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2 248 695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6 764 203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253 610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396 828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1 193 683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17.06.2014, Eiropas komisija, L 187/1, regula, Komisijas Regula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2020/852 (2020. gada 18. jūnijs) par regulējuma izveidi ilgtspējīgu ieguldījumu veicināšanai un ar ko groza Regulu (ES) 2019/2088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30.07.2018, Eiropas Parlaments un Padome, L 193/1, Eiropas Parlamenta un Padomes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17.06.2014, Eiropas komisija, L 187/1, regula, Komisijas Regula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2020/852 (2020. gada 18. jūnijs) par regulējuma izveidi ilgtspējīgu ieguldījumu veicināšanai un ar ko groza Regulu (ES) 2019/2088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Regulas 2020/852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46.7.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30.07.2018, Eiropas Parlaments un Padome, L 193/1, Eiropas Parlamenta un Padomes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25. augusta noteikumu Nr. 970 "Sabiedrības līdzdalības kārtība attīstības plānošanas procesā" 5. punktu un to, ka MK noteikumu projekts nemaina esošo regulējumu un neparedz ieviest jaunas politiskās iniciatīvas, sabiedrības līdzdalība tika nodrošināta ar Ministru kabineta 2022. gada 26. maija rīkojumu Nr. 359 "Sabiedrības veselības pamatnostādnes 2021. – 2027. gadam" apstiprināto Sabiedrības veselības pamatnostādņu 2021. – 2027. gadam un Eiropas Savienības kohēzijas politikas programmas 2021. – 2027. gadam skaņošanas procesā un ES fondu uzraudzības komitejā un ES fondu apakškomitejā. Priekšlikumu un viedokļu sniegšanai tiesību akta projekts tiks nodots nevalstiskajām organizācijām, t.sk. Latvijas Pašvaldību savienībai, Latvijas slimnīcu biedrībai un Veselības aprūpes darba devēju asociācijai.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ka projekts izpilda nepieciešamās prasības principa “Nenodarīt būtisku kaitējumu” ievērošanai.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un informācijas piekļūstamības (tajā skaitā, lai nodrošinātu piekļuvi personām ar dažādiem funkcionāliem traucējumiem) uzlabošanai. Finansējuma saņēmējs nodrošinās, ka iepirkumu, kas nepieciešams atbalstāmo darbību īstenošanai, finansējuma saņēmējs iespēju robežās veiks kā sociāli atbildīgu iepirkumu,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segregāciju/izolāciju, piemēram, personu ar invaliditāti un migrantu izcelsmes personu segregāciju/izolāciju.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vispārīgas un vismaz trīs specifiskās horizontālo principu darbības, un divi horizontālo principu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ārstniecības iestāžu infrastruktūras stiprināšanai, tiks uzlabota veselības aprūpes pakalpojumu piekļūstamība.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horizontālajiem principiem “Vienlīdzība, iekļaušana, nediskriminācija un pamattiesību ievērošana”,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ierobežotas projektu iesniegumu atlases veidā. Pasākuma projektu iesniegumu vērtēšanā horizontālajam principam “Vienlīdzība, iekļaušana, nediskriminācija un pamattiesību ievērošana” tiks piemērots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uzkrāj datus par projekta ietekmi uz horizontālo principu “Vienlīdzība, iekļaušana, nediskriminācija un pamattiesību ievērošana”,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Labklājības ministrijas izstrādātajai metodikai (https://www.lm.gov.lv/lv/vides-un-informacijas-pieklustamibas-pasnovertejums-saskana-ar-lbn-200-21) un pašnovērtējumā iegūto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atbalstāmo darbību īstenošanai nepieciešams veikt iepirkumu, finansējuma saņēmējs iespēju robežās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veicinās Bauhaus mērķu sasniegšanu, bet ārstniecības iestādēm nav noteikts pienākums ārstniecības iestāžu infrastruktūras attīstības projektos piemērot Bauhaus principu ievērošanu un mērķu sasniegšanu. Ārstniecības iestāžu plānotie ieguldījumi veicinās Bauhaus principu sasniegšanu netiešā veidā un iespēju robežās tiks nodrošināti projektos. Bauhaus principu ievērošana, galvenokārt, ir iespējama tikai ar būvniecību saistītajos projektos, taču nav iespējama ārstniecības iestāžu projektos, kas saistīti tikai ar konkrētu medicīnas tehnoloģiju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finansējuma saņēmējs var plānot arī inovatīvu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24-TA-1030</w:t>
    </w:r>
    <w:r>
      <w:br/>
    </w:r>
    <w:r w:rsidR="00000000" w:rsidRPr="00000000" w:rsidDel="00000000">
      <w:rPr>
        <w:rtl w:val="0"/>
      </w:rPr>
      <w:t xml:space="preserve">Izdrukāts 29.07.2026. 22.31 - 3.0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24-TA-1030</w:t>
    </w:r>
    <w:r>
      <w:br/>
    </w:r>
    <w:r w:rsidR="00000000" w:rsidRPr="00000000" w:rsidDel="00000000">
      <w:rPr>
        <w:rtl w:val="0"/>
      </w:rPr>
      <w:t xml:space="preserve">Izdrukāts 29.07.2026. 22.31 - 3.0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anotācija_(ex_ante)_24-TA-1030.docx</dc:title>
</cp:coreProperties>
</file>

<file path=docProps/custom.xml><?xml version="1.0" encoding="utf-8"?>
<Properties xmlns="http://schemas.openxmlformats.org/officeDocument/2006/custom-properties" xmlns:vt="http://schemas.openxmlformats.org/officeDocument/2006/docPropsVTypes"/>
</file>