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20. maija noteikumos Nr. 255 "Noteikumi par distances līgumu""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20. maija noteikumos Nr. 255 "Noteikumi par distances līgumu"" (turpmāk – Noteikumu projekts) izstrādāts, lai nodrošinātu 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 (turpmāk – Zaļās pārkārtošanās akts)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Zaļās pārkārtošanās akts paredz, ka tirgotājiem tiek noteikts pienākums sniegt skaidru, būtisku un ticamu informāciju par precēm, un tiek ieviesti īpaši noteikumi, ar kuriem tiktu novērsta negodīga komercprakse, kas šobrīd maldina patērētājus un liedz viņiem izdarīt ilgtspējīga patēriņa izvēli, piemēram, novēršot tādas komercprakses, kas saistītas ar preču agrīnu novecošanu, maldinošām vidiskuma norādēm (“zaļmaldināšana”), maldinošu informāciju par produktu vai tirgotāju uzņēmumu sociālajām īpašībām vai nepārredzamiem un apšaubāmiem ilgtspējas marķējumiem, kā arī tādiem apritīguma aspektiem kā ilgizturība, remontējamība vai reciklējamība. Minētās prasības tiks pārņemtas gan ar šo Noteikumu projektu, gan grozījumiem Negodīgas komercprakses aizlieguma likumā un Patērētāju tiesību aizsardzības likumā, gan grozījumiem Ministru kabineta 2014. gada 20. maija noteikumos Nr. 254 "Noteikumi par līgumu, kas noslēgts ārpus pastāvīgās saimnieciskās vai profesionālās darbības vietas".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esošos punktus un papildināt ar jauniem punktiem Ministru kabineta 2014. gada 20. maija noteikumus Nr. 255 "Noteikumi par distances līgumu" (turpmāk - Noteikumi Nr.255), lai nodrošinātu augstāku patērētāju un vides aizsardzības līmeni un palielinātu patērētāju informētību, nosakot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tirgotājiem atgādināt patērētājiem par preču juridiskās atbilstības garantijas esamību, tai skaitā par minimālo divu gadu periodu, izmantojot saskaņoto paziņojumu, kura dizainu un saturu izstrādās Eiropas Komisija, un pienākumu atgādināt par ilgizturības  komercgarantiju, ja tāda tiek piedāvāta, izmantojot saskaņoto marķējumu, kura dizainu un saturu izstrādās Eiropas Komisija, kā arī pa citiem pēcpārdošanas pakalpojumiem un to nosacījumiem,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tirgotājiem informēt patērētājus, ja ražotājs šādu informāciju ir sniedzis, par preces rezerves daļu pieejamību, aprēķinātajām remonta izmaksām un citiem ar preces remontu saistītajiem aspektiem.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Zaļās pārkārtošanās akta prasību izpildi.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6.martā stājās spēkā Zaļās pārkārtošanās akts, ko jāpiemēro no 2026.gada 27.septembra. Zaļās pārkārtošanās akta mērķis ir veicināt Eiropas Savienības iekšējā tirgus pienācīgu darbību ar augstu patērētāju un vides aizsardzības līmeni, lai paātrinātu zaļās pārkārtošanās procesus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 primāri tiek regulēta Patērētāju tiesību aizsardzības likuma normās, lai nodrošinātu tiem iespēju aizsargāt un īstenot savas likumīgās tiesības. Taču, pārņemot Zaļā pārkārtošanās akta prasības, nepieciešams veikt ne tikai grozījumus minētajā likumā, bet arī Noteikumos Nr.255, kuros tiek reglamentēti noteikumi par distances līgumiem, un kas ir izdoti saskaņā ar Patērētāju tiesību aizsardzības likuma 10.panta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Noteikumos Nr.255 ir iekļautas prasības pārdevējam vai pakalpojuma sniedzējam skaidri un saprotami sniegt informāciju patērētājam, pirms tas ir uzņēmies distances līguma saistības vai piekritis piedāvājumam, attiecībā uz patērētāja likumīgajām tiesībām, ja prece vai pakalpojums neatbilst līguma noteikumiem. Šo informēšanas prasību katrs komersants veic pēc saviem ieskatiem, nodrošinot, ka informācija ir skaidri un viegli pieejama patērētājam. Taču, lai nodrošinātu patērētāju informētību un veicinātu to izpratni par zaļās pārkārtošanās procesiem, nepieciešams papildus noteikt, ka šis informēšanas pienākums tiek pienācīgi veikts un sniegtā informācija par preces garantijas noteikumiem ir skaidra un nepārprotama. Attiecīgi ir nepieciešams veikt izmaiņas Noteikumos Nr.255, nosakot šīs papildus informēšanas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noteiktas atsevišķas informēšanas prasības pirms patērētājam kļūst saistošs līgums vai attiecīgais piedāvājums, kas cita starpā nosaka tirgotāja pienākumu informēt patērētājus par tādiem preces vai pakalpojuma aspektiem kā attiecīgās preces vai pakalpojuma galvenās īpašības, informācija par patērētāja likumīgajām tiesībām, ja prece vai pakalpojums neatbilst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patērētāju labāku informētību par ilgtspējīga patēriņa iespējām, nepieciešams noteikt, ka turpmāk tirgotājiem būs arī pienākums informēt par ražotāja komercgarantiju attiecībā uz ilgizturību, remonta iespējām, tādējādi iedrošinot patērētājus izvēlēties tādas preces vai pakalpojumus, kas sagaidāmi kalpos ilgāk un kuru atbilstības nodrošināšana ir būtiski ilgāka nekā tām precēm, kurām tiek piedāvāta tikai likumiskais garantijas termiņš (kas Latvijā ir noteikts 2 gadi), un šī informēšana tiks veikta izmantojot Eiropas komisijas izstrādāto saskaņoto paziņojumu un saskaņoto marķējumu (gan saskaņotais marķējums, gan saskaņotais paziņojums šobrīd ir izstrādes procesā, atbilstoši Zaļā pārkārtošanās aktā noteiktajam, Eiropas Komisija ar īstenošanas aktiem tos abus izstrādā un nosaka līdz 2025. gada 27.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tiek veiktas, lai nodrošinātu patērētāju labāku informētību par to visām likumiskajām tiesībām visās Eiropas Savienības dalībvalstīs harmonizēti, tostarp nodrošinot, ka sniegtā informācija ir skaidra un visiem saprotama neatkarīgi no valsts, kurā prece tiek iegādāta vai pakalpojums tiek saņemts.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Nr.255 tiek papildināti ar jauniem punktiem, kā arī tiek grozīti atsevišķi punkti, nosakot papildu pienākumus tirgotājiem patērētāju informēšanas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Nr.255 tiek iekļautas papildus prasības 5.punktā, turpmāk nosakot, ka pirms patērētājs ir uzņēmies līguma saistības vai piekritis piedāvājumam, pārdevējs vai pakalpojuma sniedzējs skaidri un saprotami sniedz patērētājam informāciju ne tikai par preces piegādes vispārīgiem nosacījumiem, bet arī par videi draudzīgām piegādes opcijām, ja tādas tiek piedāvātas. Tostarp tiek noteikts, ka informatīvais atgādinājums par patērētāja likumīgajām tiesībām, ja prece vai pakalpojums neatbilst līguma noteikumiem turpmāk ir norādāms, izmantojot saskaņoto paziņojumu, kuru harmonizēti izstrādās Eiropas Komisija. Ar grozījumiem Noteikumos Nr.255 turpmāk tiek iekļauta arī prasība tirgotājam sniegt informāciju par bez papildu samaksas piedāvāto ražotāja komercgarantiju attiecībā uz ilgizturību, kura attiecas uz visu preci un kuras termiņš pārsniedz divus gadus, ja ražotājs šādu informāciju sniedz pārdevējam, papildus atgādinot arī par preces "juridisko" garantiju (2 gadi), izmantojot saskaņoto marķējumu, kuru harmonizēti izstrādās Eiropas Komisija. Abi šie atgādinājumi ir sniedzami kopā, lai patērētāji ilgizturības komercgarantiju nesajauktu ar juridisko atbilstības garantiju.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tiek noteikts arī attiecībā uz precēm ar digitāliem elementiem, digitālo saturu vai digitālajiem pakalpojumiem, nosakot tirgotāja pienākumu sniegt informatīvu atgādinājumu par "juridisko" garantiju (2 gadi), kā arī, ja šāda informācija ir sniegta un ir attiecināma, informāciju par minimālo laikposmu, kādā ražotājs vai pakalpojuma sniedzējs nodrošina programmatūras atjauninājumus.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Nr.255 5.punkts tiek papildināts ar diviem jauniem apakšpunktiem, nosakot pienākumu informēt patērētāju arī par preces remontējamības indeksu (remontējamības indekss ir indekss, kas atspoguļo preces piemērotību remontēšanai un ir balstīts uz Eiropas Savienībā saskaņotām prasībām), ja tas ir attiecināms, savukārt, ja tas nav attiecināms, ir sniedzama informācija par preces rezerves daļām, kas nepieciešamas, lai uzturētu preces atbilstību līguma noteikumiem (piemēram, rezerves daļu pieejamība, aptuvenās izmaksas, pasūtīšanas procedūra, kā arī informācija par remonta ierobežojumiem un uzturēšanas un remontēšanas instrukciju pieejamību), ja ražotājs šādu informāciju sniedz pārdevējam vai pakalpojuma sniedzējam. Šāds nosacījums tiek ieviests, lai patērētāji varētu pieņemt uz informāciju balstītu lēmumu par darījuma veikšanu un izvēlēties preces, kuras ir vieglāk saremontēt, ja radīsies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Nr.255 12.punkts tiek papildināts, nosakot, ka, ja distances līguma slēgšanai izmanto elektroniskos līdzekļus un patērētājam ir pienākums veikt samaksu, pārdevējs vai pakalpojuma sniedzējs tieši pirms patērētājs veic pasūtījumu sniedz arī informāciju, izmantojot saskaņoto marķējumu, par bez papildu samaksas piedāvāto ražotāja komercgarantiju attiecībā uz ilgizturību, kura attiecas uz visu preci un kuras termiņš pārsniedz divus gadus, ja ražotājs šādu informāciju sniedz pārdevējam, kā arī sniedz informatīvu atgādinājumu par patērētāja likumīgajām tiesībām divu gadu laikā no preces piegādes dienas pieteikt prasījumu par līguma noteikumiem neatbilstošu preci.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izmaiņu mērķis ir nodrošināt, ka patērētāji varēs pieņemt labāk pamatotus un informētus pirkuma lēmumus. Tas nozīmē, ka p tādējādi tiks veicināta ilgtspējīgāka patēriņa modeļa izveide sabiedrībā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nozares pārstāvjiem ir aktualizējušies jautājumi par elektroenerģijas jomā piemērojamām atteikuma tiesībām, Ministrija papildus izstrādātajiem grozījumiem skaidro, ka izņēmumu attiecībā uz 14 dienu atteikuma tiesību piemērošanu elektroenerģijas jomā Noteikumos nebūtu iekļaujams. Patērētājam ir jānodrošina tiesības atteikties no distancē noslēgta līguma 14 dienu laikā, un šīs tiesības cita starpā ir attiecināmas arī uz elektroenerģijas pakalpojumu saņemšanu, līdzīgi kā tas ir ar gāzes, ūdens vai telekomunikāciju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saprot, ka saņemto elektroenerģijas pakalpojumu nav iespējams atgriezt atpakaļ, taču ir jāņem vērā, ka šis nevar būt par iemeslu atteikuma tiesību nenodrošināšanai. Atteikuma tiesības neizslēdz patērētāja pienākumu veikt attiecīgu apmaksu par saņemtajiem pakalpojumiem - kā ir noteikts šo noteikumu 18., 24. un konkrēti 23.punktā “J</w:t>
      </w:r>
      <w:r w:rsidR="00000000" w:rsidRPr="00000000" w:rsidDel="00000000">
        <w:rPr>
          <w:i w:val="1"/>
          <w:rtl w:val="0"/>
        </w:rPr>
        <w:t xml:space="preserve">a patērētājs izmanto atteikuma tiesības pēc tam, kad ir iesniedzis pakalpojuma sniedzējam pieprasījumu saskaņā ar šo noteikumu 18. punktu, patērētājs maksā pakalpojuma sniedzējam summu, kas attiecībā pret pilnu līguma izpildi ir proporcionāla izpildītajai līguma daļai brīdī, kad patērētājs informē pakalpojuma sniedzēju par atteikuma tiesību izmantošanu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22.1.apakšpunktā minēto “pakalpojuma izpildi”, norādām, ka elektroenerģijas patēriņš pēc būtības ir nepārtraukts, tāpēc nevar uzskatīt, ka pakalpojuma izpilde ir pabeigta. Pakalpojums tiek turpināts sniegt līdz brīdim, kad konkrētais līgums tiek pārtraukts.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Noteikumu projekta piemērošanai būs pozitīva ietekme uz patērētājiem, jo tiks nodrošināta to labāka informētība par precēm, to dažādajiem aspektiem un viņu iegādāto preču atbilstības līguma noteikumiem tiesībām un skaidra informācija par ilgizturības komercgarantijas 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piemērošanai būs ietekme uz tirgotājiem, ņemot vērā, ka tiem būs jāievēro jaunie noteikumi un uzliktie pienākumi. Ar šo regulējumu tirgotājiem tiks radīts papildu administratīvais slogs un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šīs piemērošanas administratīvo un atbilstības izmaksas tirgotājiem pašreizējā Noteikumu projekta izstrādes stadijā precīzi nav iespējams aprēķināt, jo nav precīzas informācijas par to, vai un kādā apmērā tirgotāji jau šobrīd izpilda paredzētās jaunās prasības. Tāpat nav precīzu datu par tirgotāju skaitu Latvijā, kas piedāvā patērētājiem iespēju noslēgt līgumu ārpus pastāvīgās saimnieciskās vai profesionālās darbības vietas, ņemot vērā, ka to skaits pastāvīgi mainās un to skaitam ir tendence palielināties, taču jāņem vērā, ka to tirgotāju skaits, uz kuriem attieksies jaunie informēšanas pienākumi, ir liels skaits uzņēmumu.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administratīvā sloga pieaugums tirgotājiem.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administratīvā sloga pieaugums tirgotājiem.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32024L0825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 (Zaļās pārkārtošanās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Zaļās pārkārtošanās aktu, normas piemēro no 2026.gada 27.septembra.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 (Zaļās pārkārtošanās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t)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1.panta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u)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w)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1.panta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 punkta 14.a)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16.panta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 punkta 14.b)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1.panta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 punkta 14.c)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 punkta 14.d)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 punkta 14.e)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b) apakšpunkta ea)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b) apakšpunkta eb)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b) apakšpunkta ec)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b) apakšpunkta ed)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c)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 punkta c) apakšpunkta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grozījumu projekta (24-TA-1291)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o)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p)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q)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r)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b) apakšpunkta v)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2.punkta b) apakšpunkta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2.punkta b) apakšpunkta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2.punkta a) apakšpunkta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2.punkta 4.a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2.punkta 4.b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2.punkta 4.c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I pielikuma 4.punkta 23.j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NKAL grozījumu projekta (24-TA-1401)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1.1.apakšpunkts (Noteikumu Nr.255 5.9.apakšpunkts), Noteikumu Nr.254. grozījumu projekta (24-TA-1828) 1.1.apakšpunkts (Noteikumu Nr.254 5.9.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1.2.apakšpunkts (Noteikumu Nr.255 5.14.apakšpunkts), Noteikumu Nr.254. grozījumu projekta (24-TA-1828) 1.2.apakšpunkts (Noteikumu Nr.254 5.14.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3.punkta c) apakšpunkta la)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1.3.apakšpunkts (Noteikumu Nr.255 5.15.</w:t>
            </w:r>
            <w:r w:rsidR="00000000" w:rsidRPr="00000000" w:rsidDel="00000000">
              <w:rPr>
                <w:sz w:val="24"/>
                <w:vertAlign w:val="superscript"/>
                <w:rtl w:val="0"/>
              </w:rPr>
              <w:t xml:space="preserve">1 </w:t>
            </w:r>
            <w:r w:rsidR="00000000" w:rsidRPr="00000000" w:rsidDel="00000000">
              <w:rPr>
                <w:sz w:val="24"/>
                <w:rtl w:val="0"/>
              </w:rPr>
              <w:t xml:space="preserve">apakšpunkts), Noteikumu Nr.254. grozījumu projekta (24-TA-1828) 1.3.apakšpunkts (Noteikumu Nr.254 5.15.</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3.punkta c) apakšpunkta lb) un lc)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1.4.apakšpunkts (Noteikumu Nr.255 5.15.</w:t>
            </w:r>
            <w:r w:rsidR="00000000" w:rsidRPr="00000000" w:rsidDel="00000000">
              <w:rPr>
                <w:sz w:val="24"/>
                <w:vertAlign w:val="superscript"/>
                <w:rtl w:val="0"/>
              </w:rPr>
              <w:t xml:space="preserve">2</w:t>
            </w:r>
            <w:r w:rsidR="00000000" w:rsidRPr="00000000" w:rsidDel="00000000">
              <w:rPr>
                <w:sz w:val="24"/>
                <w:rtl w:val="0"/>
              </w:rPr>
              <w:t xml:space="preserve"> apakšpunkts), Noteikumu Nr.254. grozījumu projekta (24-TA-1828) 1.4.apakšpunkts (Noteikumu Nr.254 5.15.</w:t>
            </w:r>
            <w:r w:rsidR="00000000" w:rsidRPr="00000000" w:rsidDel="00000000">
              <w:rPr>
                <w:sz w:val="24"/>
                <w:vertAlign w:val="superscript"/>
                <w:rtl w:val="0"/>
              </w:rPr>
              <w:t xml:space="preserve">2</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3.punkta d) apakšpunkta u)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1.6.apakšpunkts (Noteikumu Nr.255 5.23.apakšpunkts), Noteikumu Nr.254. grozījumu projekta (24-TA-1828) 1.6.apakšpunkts (Noteikumu Nr.254 5.23.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3.punkta d) apakšpunkta v)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1.7.apakšpunkts (Noteikumu Nr.255 5.24.apakšpunkts), Noteikumu Nr.254. grozījumu projekta (24-TA-1828) 1.7.apakšpunkts (Noteikumu Nr.254 5.24.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1.8.apakšpunkts (Noteikumu Nr.255 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Zaļās pārkārtošanās akts neierobežo dalībvalsti piemērot jau esošu regulējumu, kas piemērojams uz subjektiem, kā arī transponējot Direktīvu nav ierobežotas tiesības piemērot stingrāku jau esošu regulējumu.  Transponējot (pārņemot) Zaļās pārkārtošanās akta normas, nav izmantota rīcības brīvība noteikt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https://tapportals.mk.gov.lv/public_participation/16df2ee4-a6b5-4772-b74f-3ff5feb6d84b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elektroniskā pasta vēstule "Sadales tīkls", kurā izteikts viedoklis par noteikumu projektu. Ministrija izskaidrojusi tiesību normas un sniegusi savu viedokli, komentāri nav ņemti vērā. Papildus pēc sabiedrības līdzdalības termiņa beigām tiks saņemts viedoklis arī no Latvijas Tirdzniecības un rūpniecības kameras. Ministrija viedokli ir izskatījusi un tas nav ņemts vērā. Sadaļā "Sabiedrības līdzdalība" ir ievietots viedokļu apkopojums ar Ministrijas komentāriem.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ar Zaļās pārkārtošanās aktu tiek noteiktas jaunas informēšanas prasības tirgotājiem, Patērētāju tiesību aizsardzības centram būs jāuzrauga jauno nosacījumu ievērošana. Attiecīgi Patērētāju tiesību aizsardzības centra uzdevumi tiek paplašināti. Noteikumu projektā paredzēto uzraudzību PTAC nodrošinās tam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24-TA-1829</w:t>
    </w:r>
    <w:r>
      <w:br/>
    </w:r>
    <w:r w:rsidR="00000000" w:rsidRPr="00000000" w:rsidDel="00000000">
      <w:rPr>
        <w:rtl w:val="0"/>
      </w:rPr>
      <w:t xml:space="preserve">Izdrukāts 29.07.2026. 23.50 - 4.0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24-TA-1829</w:t>
    </w:r>
    <w:r>
      <w:br/>
    </w:r>
    <w:r w:rsidR="00000000" w:rsidRPr="00000000" w:rsidDel="00000000">
      <w:rPr>
        <w:rtl w:val="0"/>
      </w:rPr>
      <w:t xml:space="preserve">Izdrukāts 29.07.2026. 23.50 - 4.0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anotācija_(ex_ante)_24-TA-1829.docx</dc:title>
</cp:coreProperties>
</file>

<file path=docProps/custom.xml><?xml version="1.0" encoding="utf-8"?>
<Properties xmlns="http://schemas.openxmlformats.org/officeDocument/2006/custom-properties" xmlns:vt="http://schemas.openxmlformats.org/officeDocument/2006/docPropsVTypes"/>
</file>