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Parādu ārpustiesas atgūšanas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Parādu ārpustiesas atgūšanas likumā” (turpmāk – Likumprojekts) ir izstrādāts atbilstoši Ministru kabineta 2019. gada 7. maija rīkojuma Nr. 210 „Par Valdības rīcības plānu Deklarācijas par Artura Krišjāņa Kariņa vadītā Ministru kabineta iecerēto darbību īstenošanai” uzdevuma Nr. 027 pasākumam 27.3. Likumprojekts veicinās finanšu sektora konkurētspēju un sekmēs īstenot Finanšu sektora attīstības plānā 1.2.11. punktā ietverto pasākumu – pilnveidot vērtspapīrošanas regulējumu, ņemot vērā Latvijas kapitāla tirgus specifiku.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izstrādājusi likumprojektu „Vērtspapīrošanas likums”, kura normas nepieciešams saskaņot ar Parādu ārpustiesas atgūšanas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aktivizēs Latvijas kapitāla tirgu, atvieglojot iespējas veikt vērtspapīrošanas darījumus.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Vērtspapīrošanas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 ir darījums (shēma), kas aizdevējam, piemēram, kredītiestādei vai komercsabiedrībai, dod iespēju refinansēt aizdevumu, riska darījumu vai debitoru parādu kopumu (piemēram, aizdevumus mājokļa iegādei, automašīnu izpirkumnomas darījumus, patēriņa kredītus, kredītkaršu vai pircēju un pasūtītāju parādus), tos pārveidojot par tirgojamiem vērtspapīriem. Aizdevējs apkopo un pārstrukturē portfelī savus aizdevumus un tos sagrupē pa dažādām riska kategorijām, kas paredzētas dažādiem ieguldītājiem, tādējādi ieguldītāji var ieguldīt aizdevumos un citādos riska darījumos, kas parasti tiešā veidā nebūtu iespējams. Peļņu ieguldītājiem rada pamatā esošo aizdevumu naudas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2018. gadā tika pieņemts tiesiskais ietvars vērtspapīrošanas jomā, kas stājās spēkā 2019. gada 1. janvārī. Minēto tiesisko ietvaru veido divas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 (turpmāk – Regula Nr. 2017/2402);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2017. gada 12. decembra regula (ES) 2017/2401, ar ko groza regulu (ES) Nr. 575/2013 par prudenciālajām prasībām attiecībā uz kredītiestādēm un ieguldījumu brokeru sabiedrībām (turpmāk – Regula Nr. 2017/2401).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tiesisko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vērtspapīrošanas definīcija un vienkāršas, pārredzamas un standartizētas (turpmāk – VPS) vērtspapīrošanas jēdziens, nosakot detalizētus kritērijus, kuriem jāatbilst darījumam, lai to apzīmētu kā VPS vērtspapīrošanu.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jauno kvalitātes marķējumu “VPS” vērtspapīrošana, tirgū ir ienākušas jaunas puses, jo īpaši VPS vērtspapīrošanas trešo pušu verificētāji, kas pārbauda, vai iniciatori atbilst visiem VPS kritērijiem, un repozitoriji, kas apkopo visus datus un dokumentāciju par darījumiem, lai nodrošinātu, ka visa informācija ir centralizēta, pieejama un pārredzama ieguldītājiem.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jomā ir noteiks, ka valsts līmenī dalībvalstīm ir jāizraugās kompetentās iestādes VPS kritēriju īpašai uzraudzībai un atļauju izsniegšanai trešajām pusēm, kas pārbauda atbilstību VPS prasībām. Kompetentajām iestādēm ir arī cieši jāsadarbojas ar Eiropas uzraudzības iestādēm (EUI). Uzraudzības jomā ir izveidota īpaša Eiropas uzraudzības iestāžu apvienotā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regulas paredz pilnvarojumus (piemēram, Eiropas Vērtspapīru un tirgu iestādei (turpmāk – EVTI), Eiropas Uzraudzības iestādei (Eiropas Banku iestāde) (EBI)) izstrādāt tehniskos standartus, vadlīnijas un ziņojumus, bet Eiropas Komisijai pieņemt deleģētās un īstenošanas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šim nav zināms neviens vērtspapīrošanas gadījums. Eiropas Rekonstrukciju un attīstības banka (turpmāk – ERAB) savā 2019. gada 7. februāra pētījumā Finanšu ministrijai ir norādījusi, ka Latvijai saskata vērtspapīrošanas potenciālu: bankām kā aktīvus izmatot tos, kas nekvalificējas segto obligāciju seguma portfelim, kā arī tādus aktīvus, kuru vērtspapīrošana ļautu mazināt slogu kapitālam. Tāpat ERAB redz potenciālu citiem aizdevējiem, kas nav bankas.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Parādu ārpustiesas atgūšanas likuma 5. panta pirmajai daļai un trešajā daļā noteiktajiem izņēmumiem, pienākums saņemt licenci būtu attiecināms arī uz parādus apkalpojošo sabiedrību. Atbilstoši Regulas Nr. 2017/2402 2. panta 13. punktam parādus apkalpojošā sabiedrība ir sabiedrība, kas katru dienu pārvalda nopirkto debitoru parādu portfeli vai pamatā esošos kredītriska darījumus. Praksē parasti parādus apkalpojošā sabiedrība ir pats iniciators, līdz ar to, veicot vērtspapīrošanu, parādnieka stāvoklis, viņa tiesības un pienākumi nemainās. Neparedzot minēto atbrīvojumu, netiks sasniegts likumprojekta “Vērtspapīrošanas likums” mērķis, jo ievērojami sadārdzināsies vērtspapīrošanas darījuma (shēmas) īstenošana, kas neveicinās Latvijas kapitāla tirgus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skaidri noteikt, ka pienākums saņemt licenci nav attiecināms uz parādus apkalpojošo sabiedrību, ja parādus apkalpojošā sabiedrība ir iniciators, uz kuru pirms aktīvu atsavināšanas vērtspapīrošanas sabiedrībai bija attiecināms likumā noteiktais izņēmums par speciālas atļaujas (licences) parādu atgūšanai saņemšanai, ciktāl tas veic vērtspapīrošanas sabiedrībai atsavināto aktīvu pārvaldīšanu. Citos gadījumos, kad parādus apkalpojošā sabiedrība nav iniciators, uz parādus apkalpojošo sabiedrību minētais izņēmums nav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vērtēta iespēja likumprojektā “Vērtspapīrošanas likums” un ar to saistīto likumprojektu paketē regulēt tikai jautājumus, kas nepieciešami, lai nodrošinātu Regulas Nr. 2017/2402 tiešo piemērojamību, proti, tikai uzraudzības un atbildības jomu. Taču secināts, ka šāds risinājums nenodrošinās vērtspapīrošanas darījumu veicināšanu Latvijā, ja vienlaikus netiks arī regulēti jautājumi par vērtspapīrošanas sabiedrības Latvijā dibināšanu, darbību un darbības izbeigšanu, kā arī aktīvu, kurus vērtspapīrošanā iesaistītais iniciators atsavinājis vai nodevis vērtspapīrošanas sabiedrībai, aizsardzību pret iniciatora kreditoru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vērtēta iespēja likumprojektā “Parādu ārpustiesas atgūšanas likums” un likumprojektā “Vērtspapīrošanas likums” neparedzēt izņēmumu saņemt speciālu atļauju (licenci) parādu atgūšanai, taču secināts, ka šāda izņēmuma nenoteikšana kavēs sasniegt mērķi aktivizēt Latvijas kapitāla tirgu un atvieglojot iespējas veikt vērtspapīrošanas darījumus.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Rekonstrukciju un attīstības bankas 2019. gada 7. februāra pētījums “Ievads segto obligāciju un vērtspapīrošanas juridiskajam un normatīvajam ietvaram Latvijā” (“Introduction of a covered bond and securitisation legal and regulatory framework in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sagatavojuši Eiropas Savienības Strukturālo reformu atbalsta programmas īstenošanā iesaistītie ZAB “Sorainen” un Richard Kemmish Consulting Limited.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Parādus apkalpojošā sabiedrība, kas vienlaikus ir arī iniciators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tiesiskais regulējums ietekmē parādus apkalpojošo sabiedrību, kas vienlaikus ir arī iniciators, jo minētajam subjektam nav nepieciešams saņemt speciālu atļauju (licenci) parādu atgūšanai.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 ir netiešs mazo un vidējo uzņēmumu finansēšanas instruments, kas atvieglo finansējuma piesaistīšanu.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"Vērtspapīrošanas likums" (22-TA-439)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"Grozījums Maksātnespējas likumā" (22-TA-466)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Kredītiestāžu likumā" (22-TA-464)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"Grozījums Patērētāju tiesību aizsardzības likumā" (22-TA-467)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32017R2402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Regulas Nr. 2017/2402 20. panta 6. punktā noteikto nosacījumu izpildi, proti, vērtspapīrošanas pamatā esošie riska darījumi nav apgrūtināti vai citādi neatrodas tādā stāvoklī, kas, kā sagaidāms, varētu nelabvēlīgi ietekmēt īstas pārdošanas vai cesijas, vai nodošanas, kas rada tādas pašas tiesiskās sekas, izpildāmību.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atbilstoši Ministru kabineta 2009. gada 25. augusta noteikumiem Nr. 970 “Sabiedrības līdzdalības kārtība attīstības plānošanas procesā”. Ieinteresētajām personām ir tiesības izteikt viedokli un sniegt rakstiskus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tīmekļvietnē 2020. gada 6. oktobrī ievietota uzziņa par likumprojektu “Vērtspapīrošanas un segto obligāciju likumprojekts”: https://www.fm.gov.lv/lv/uzzina-par-likumprojektu-vertspapirosanas-un-segto-obligaciju-likums.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22-TA-468</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22-TA-468</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anotācija_(ex_ante)_22-TA-468.docx</dc:title>
</cp:coreProperties>
</file>

<file path=docProps/custom.xml><?xml version="1.0" encoding="utf-8"?>
<Properties xmlns="http://schemas.openxmlformats.org/officeDocument/2006/custom-properties" xmlns:vt="http://schemas.openxmlformats.org/officeDocument/2006/docPropsVTypes"/>
</file>