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budžeta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īstenos Eiropas Savienības Atveseļošanas un noturības mehānisma plāna 2.2. reformu un investīciju virziena “Uzņēmumu digitālā transformācija un inovācijas” 2.2.1.5.i. investīcijas “Mediju nozares uzņēmumu digitālās transformācijas veicināšana” pasākumu “Mediju nozares uzņēmumu procesu modernizēšana”, nodrošinot atbalstu mediju uzņēmumu tehnoloģisko risinājumu attīstībā.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3. decembra rīcības plānā “Eiropas plašsaziņas līdzekļi digitālajā desmitgadē” norādīts, ka ilgstošas problēmas, jo īpaši tirgus sadrumstalotība, ir vājinājušas Eiropas audiovizuālo un plašsaziņas līdzekļu nozari salīdzinājumā ar konkurentiem pasaulē. Šobrīd lielu tirgus daļu iekaro tiešsaistes platformas ārpus Eiropas Savienības, un tas var apdraudēt Eiropas Savienības plašsaziņas līdzekļu un audiovizuālās nozares stratēģisko autonomiju. Mediju nozare kopumā nepietiekami ievieš digitālās tehnoloģijas, tāpat vērojama dezinformācijas izplatīšanās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brīvība un mediju plurālisms ir ļoti svarīgi demokrātijai, kā arī tos aizsargā Eiropas Savienības Pamattiesību harta. Brīvi un plurālistiski mediji ir tie, kuri spēj nodrošināt pie varas esošo atbildību un palīdz iedzīvotājiem pieņemt informācijā balstītus lēmumus. Sniedzot sabiedrībai ticamu informāciju, neatkarīgiem medijiem ir svarīga loma cīņā pret dezinformāciju un manipulācijām demokrātisku diskusiju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Savienības Padomes 2020. gada 13. novembra secinājumos norādīts, ka par brīvas un plurālistiskas mediju sistēmas aizsargāšanu cita starpā ir norādīts uz nepieciešamību dalībvalstīm nodrošināt atbilstīgu un neatkarīgu satvaru valsts mediju vides ekonomiskai ilgtspējai, tostarp valsts atbalstu, lai atbalstītu atgūšanos no krīzes un tādējādi ilgtermiņā nodrošinātu plurālistisku mediju sistēmu. Tāpat ir uzsvērta nepieciešamība atbalstīt un stimulēt jaunu, ilgtspējīgu un sadarbīgu uzņēmējdarbības modeļu izstrādi, jo īpaši vietējiem, reģionālajiem un tradicionālajiem medijiem.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paradumu maiņa mediju satura patēriņā ir ar tendenci uz digitāla un multimediāla satura izmantošanu, lai saņemtu aktuālo informāciju, izglītotos un izklaidētos.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vidē ir zems mediju uzņēmējdarbības digitalizācijas līmenis, kas rada apdraudējumu mediju tirgus ilgtspējai, rezultātā samazinot mediju daudzveidību un plurālismu, kas ir kritiski nozīmīgi demokrātisku procesu pilnvērtīgā funkcionēšanā. Lai nodrošinātu Latvijas mediju uzņēmumu konkurētspēju tirgus faktiskajā situācijā, ir nepieciešams stimulēt komersantu digitālo transformāciju gan tehnoloģisko risinājumu attīstībā, gan zināšanu un digitālo prasmju aspektā.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visaptverošu Latvijas mediju uzņēmumiem mērķētu atbalstu tehnoloģisko risinājumu attīstībā, paredzams, ka investīcijas spēs nodrošināt nepieciešamo izrāvienu, lai sekmētu tradicionālo mediju radītā satura pieejamību tirgus apstākļiem atbilstošā veidā. Nodrošinot mediju uzņēmumiem rīkus, lai sasniegtu un palielinātu auditoriju multimediālā veidā, tiks stiprināta mediju uzņēmumu spēja konkurēt ar globālā mediju tirgus dalībnieku piedāvātajam iespējām mediju satura patēriņā.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28. aprīļa rīkojumu Nr. 292 “Par Latvijas Atveseļošanas un noturības mehānisma plānu” apstiprināts Latvijas Atveseļošanas un noturības mehānisma plāns, paredzot 2.2. reformas un investīciju virziena “Uzņēmumu digitālā transformācija un inovācijas” 2.2.1.5.i. investīcijas “Mediju nozares uzņēmumu digitālās transformācijas veicināšana” (turpmāk – 2.2.1.5.i. investīcija) ietvaros atbalstu mediju uzņēmumu tehnoloģisko risinājumu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paredzēts sniegt, īstenojot divus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2.2. reformu un investīciju virziena “Uzņēmumu digitālā transformācija un inovācijas” 2.2.1.5.i. investīcijas pasākums “Mediju nozares uzņēmumu procesu modernizēšana”” (turpmāk – procesu modernizēšanas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Atveseļošanas un noturības mehānisma plāna 2.2.1.5.i. investīcijas pasākums “Mācības mediju nozares speciālistu digitālās kompetences un zināšanu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Eiropas Savienības Atveseļošanas un noturības mehānisma plāna 2.2. reformu un investīciju virziena “Uzņēmumu digitālā transformācija un inovācijas” 2.2.1.5.i. investīcijas finansējums ir 5 700 000 </w:t>
      </w:r>
      <w:r w:rsidR="00000000" w:rsidRPr="00000000" w:rsidDel="00000000">
        <w:rPr>
          <w:i w:val="1"/>
          <w:rtl w:val="0"/>
        </w:rPr>
        <w:t xml:space="preserve">euro</w:t>
      </w:r>
      <w:r w:rsidR="00000000" w:rsidRPr="00000000" w:rsidDel="00000000">
        <w:rPr>
          <w:rtl w:val="0"/>
        </w:rPr>
        <w:t xml:space="preserve">, kuru plānots piešķirt šādā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- 3 700 000 </w:t>
      </w:r>
      <w:r w:rsidR="00000000" w:rsidRPr="00000000" w:rsidDel="00000000">
        <w:rPr>
          <w:i w:val="1"/>
          <w:rtl w:val="0"/>
        </w:rPr>
        <w:t xml:space="preserve">euro </w:t>
      </w:r>
      <w:r w:rsidR="00000000" w:rsidRPr="00000000" w:rsidDel="00000000">
        <w:rPr>
          <w:rtl w:val="0"/>
        </w:rPr>
        <w:t xml:space="preserve">Eiropas Savienības Atveseļošanas un noturības mehānisma plāna 2.2. reformu un investīciju virziena “Uzņēmumu digitālā transformācija un inovācijas” 2.2.1.5.i. investīcijas procesu modernizēšanas pasākuma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- 2 000 000 </w:t>
      </w:r>
      <w:r w:rsidR="00000000" w:rsidRPr="00000000" w:rsidDel="00000000">
        <w:rPr>
          <w:i w:val="1"/>
          <w:rtl w:val="0"/>
        </w:rPr>
        <w:t xml:space="preserve">euro </w:t>
      </w:r>
      <w:r w:rsidR="00000000" w:rsidRPr="00000000" w:rsidDel="00000000">
        <w:rPr>
          <w:rtl w:val="0"/>
        </w:rPr>
        <w:t xml:space="preserve">Eiropas Savienības Atveseļošanas un noturības mehānisma plāna 2.2. reformu un investīciju virziena “Uzņēmumu digitālā transformācija un inovācijas” 2.2.1.5.i. investīcijas pasākuma “Mācības mediju nozares speciālistu digitālās kompetences un zināšanu pilnveidošanai”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2.2.1.5.i. investīcijas procesu modernizēšanas pasākuma ieviešanu atbildīgā nozares ministrija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mērķis ir veicināt mediju nozares digitālo transformāciju, un darbības pielāgošanu mūsdienu mediju patēriņa tendencēm digitālā vidē, vienlaikus, vecinot vietējā mediju satura veidotāju ilgtspēju, tādējādi saglabājot plurālistisku mediju tirgu un stiprinot noturību pret dezinformāciju. Ņemot vērā, ka digitālā transformācija ir nepieciešama plašākā mediju tirgus dalībnieku lokā, lai saglabātu plurālismu mediju vidē, atbalsts ir plānots vismaz deviņiem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pasākumam pieejamais Atveseļošanas fonda finansējums ir 3 700 000 </w:t>
      </w:r>
      <w:r w:rsidR="00000000" w:rsidRPr="00000000" w:rsidDel="00000000">
        <w:rPr>
          <w:i w:val="1"/>
          <w:rtl w:val="0"/>
        </w:rPr>
        <w:t xml:space="preserve">euro</w:t>
      </w:r>
      <w:r w:rsidR="00000000" w:rsidRPr="00000000" w:rsidDel="00000000">
        <w:rPr>
          <w:rtl w:val="0"/>
        </w:rPr>
        <w:t xml:space="preserve">. Paredzēts, ka 2.2.1.5.i. investīcijas procesu modernizēšanas pasākuma ietvaros projektu īstenošanai pieejamais Atveseļošanas fonda finansējums vienam komersantam nedrīkst pārsniegt 750 000 </w:t>
      </w:r>
      <w:r w:rsidR="00000000" w:rsidRPr="00000000" w:rsidDel="00000000">
        <w:rPr>
          <w:i w:val="1"/>
          <w:rtl w:val="0"/>
        </w:rPr>
        <w:t xml:space="preserve">euro</w:t>
      </w:r>
      <w:r w:rsidR="00000000" w:rsidRPr="00000000" w:rsidDel="00000000">
        <w:rPr>
          <w:rtl w:val="0"/>
        </w:rPr>
        <w:t xml:space="preserve">. Sniegtā atbalsta intensitāte ir paredzēta 100 procentu apmērā no projekta kopējā attiecināmā finansējuma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finansējumu 2.2.1.5.i. investīcijas procesu modernizēšanas pasākuma ietvaros piešķir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avansa maksājumu saņemšanas nosacījumus, attiecīgi finansējuma saņēmējam ir iespēja saņemt avansu līdz 30 procentiem no projekta Atveseļošanas fonda finansējuma apjoma pēc līguma par projekta īstenošanu noslēgšanas. Nākamo avansa maksājumu 30 procentus no Atveseļošanas fonda finansējuma apmēra finansējuma saņēmējs var saņemt pēc tam, kad iepriekšējais saņemtais avanss ir ieguldīts pilnā apmērā un ir iesniegts digitalizācijas risinājumu, ko plānots iegādāties, detalizēts apraksts un tehniskā specifikācija.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pasākumu īsteno līdz 2026. gada 30. jūnijam un tā ietvaros sasniedzamais mērķrādītājs ir izveidotas trīs mediju nozares digitālās platformas vai digitālie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mediju uzņēmumu konkurētspēju tirgus faktiskajā situācijā, ir nepieciešams stimulēt komersantu digitālo transformāciju gan tehnoloģisko risinājumu attīstībā, gan zināšanu un digitālo prasmju aspektā. Sniedzot visaptverošu Latvijas mediju uzņēmumiem mērķētu atbalstu tehnoloģisko risinājumu attīstībā, paredzams, ka investīcijas spēs nodrošināt nepieciešamo izrāvienu, lai sekmētu tradicionālo mediju radītā satura pieejamību tirgus apstākļiem atbilstošā veidā. Rezultātā mediju uzņēmumiem tiks nodrošināti rīki, lai sasniegtu un palielinātu auditoriju multimediālā veidā. Līdz ar to tiks stiprināta mediju uzņēmumu spēja konkurēt ar globālā mediju tirgus dalībnieku piedāvātajam iespējām mediju satura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sasniegtu izvirzītos mērķus nepieciešami ieguldījumu arī mediju nozares zināšanu un prasmju pilnveidošanā, tai skaitā atbalstot jaunu, ilgtspējīgu un sadarbīgu uzņēmējdarbības modeļu izstrādi, kas tiks īstenots 2.2.1.5.i. investīcijas pasākuma “Mācības mediju nozares speciālistu digitālās kompetences un zināšanu pilnveidošanai”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“Mācības mediju nozares speciālistu digitālās kompetences un zināšanu pilnveidošanai” ieviešanai ietvaros sasniedzamais mērķrādītājs ir līdz 2026. gada 30. jūnijam noslēgti līgumi par mācību veikšanu digitālās kompetences un zināšanu pilnveidošanai ar vismaz 10 dažādiem mediju uzņēmumiem, aptverot vismaz 100 mediju nozares speciālistus. Tai skaitā 2.2.1.5.i. investīcijas pasākuma “Mācības mediju nozares speciālistu digitālās kompetences un zināšanu pilnveidošanai” ietvaros plānots atbalstīt uzņēmējdarbības modeļu uzlabošanu plašsaziņas līdzekļu nozares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plānots, ka 2.2.1.5.i. investīcijas procesu modernizēšanas pasākuma ietvaros tiks noslēgti vismaz deviņi līgumi par projektu īstenošanu, savukārt 2.2.1.5.i. investīcijas pasākuma “Mācības mediju nozares speciālistu digitālās kompetences un zināšanu pilnveidošanai” ietvaros 1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projekta ietvaros sasniegtie rezultāti uzskatāmi par izpildītiem, kad finansējuma saņēmējs Centrālajā finanšu un līgumu aģentūrā ir iesniedzis neatkarīga eksperta, kas var apliecināt kompetenci informācijas tehnoloģiju vai uzņēmumu attīstības konsultāciju jomā, novērtējumu par projekta rezultātu sasniegšanu. 2.2.1.5.i. investīcijas procesu modernizēšanas pasākuma projekta ietvaros sasniegto rezultātu izvērtēšanai piesaista ekspertu, kuram pēdējo 5 gadu laikā ir pieredze informācijas tehnoloģiju iekārtu, programmatūru, aparatūru vai jaunas metodes ieviešanā vai izstrādē, iegūta inženierzinātnēs augstākā akadēmiskā un profesionālās izglītība informācijas tehnoloģijās, datortehnikā, elektronikā, telekomunikācijās, datorvadībā un datorzinātnē.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pienākums ir uzskaitīt kopējos rādītājus šādā detalizācijā - rādītajam “uzņēmumi, kas saņem atbalstu digitālo produktu, pakalpojumu un lietojumprogrammu izstrādei vai ieviešanai” un “atbalstītie uzņēmumi (tai skaitā – mazi uzņēmumi, tostarp mikrouzņēmumi, vidēji uzņēmumi un lieli uzņēmumi)” ir jāuzskaita atbalstītie uzņēmumi pēc to lieluma: a) mazie, tai skaitā mikro, uzņēmumi; b) vidējie uzņēmumi un c)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mērķa grupa ir mediju nozares uzņēmumi, kurus atlasīs atklāta projektu iesniegumu konkursa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juridiska persona vai personālsabiedrība, kas vismaz divus gadus pirms projekta iesniegšanas ir reģistrēta Latvijas Republikas Uzņēmumu reģistrā un atbilst vienai no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īpašniece masu informācijas līdzeklim vai biedri ir masu informācijas līdzekļu īpašnieki,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nav pilnībā vai daļēji piederoša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tās darbības veids pēc NACE klasifikatora ir tirgus un sabiedriskās domas izpēte un tā sniedz pakalpojumus medijiem, tai skaitā Latvijas tirgū veic mediju auditorijas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fiziska persona, kas ir reģistrēta Nacionālajā elektronisko plašsaziņas līdzekļu padomē kā elektroniskais plašsaziņas līdzeklis vai Uzņēmumu reģistra masu informācijas līdzekļu reģistrā vismaz divus gadus pirms projekta iesnieguma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īstenošanai var piesaistīt sadarbības partneri, kas vismaz divus gadus pirms projekta iesniegšanas ir Latvijas Republikas Uzņēmumu reģistrā reģistrēta juridiska persona, kas sniedz pakalpojumus masu informācijas līdzekļiem un atbilst visām tālākminētajām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pilnībā vai daļēji piederoša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vismaz viena no minētajām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īpašnieks masu informācijas līdzeklim vai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apvieno masu informācijas līdzekļu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mediju auditorijas pētniecības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personu, kas apvieno masu informācijas līdzekļu īpašniekus, šajā investīcijā tiek saprasta mediju nozares asociācija. Sadarbības partneris papildus iepriekšminētajam var būt arī mediju auditorijas pētniecības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uzņēmumu ražošanas procesu digitalizācija un procesu ražošanas digitalizācijai nepieciešamo rīku izstrāde, iegāde vai atjaunināšana un modernizēšana;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uzņēmumu digitalizācijai nepieciešamo programmatūras un ražošanas un produkta izplatīšanas procesam nepieciešamo plānošanas risinājumu un auditorijas pētījumu risinājumu iegāde vai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mediju uzņēmumu ražošanas procesu digitalizācijai nepieciešamo mākslīgā intelekta risinājumu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uzņēmumu datu uzglabāšanas risinājumu un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pasākuma projekta vadība un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projekta darbībām tieši saistīto publicitātes un vizuālās identitātes pasākumi, kas veiktas atbilstoši Eiropas Parlamenta un Padomes 2021. gada 12. februāra Regulas Nr. 2021/241, ar ko izveido Atveseļošanas un noturības mehānismu (turpmāk – regula Nr. 2021/241) 34. panta 2.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rezultātā īpašumtiesības (īpašumā, ilgtermiņa nomā, bezatlīdzības lietošanā, valdījumā u.c.) uz digitālajām platformām un digitāliem risinājumiem piederēs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nedrīkst būt iekļautas darbības, kas ir pabeigtas uz līguma par projekta īstenošanu noslēgšanas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pasākumam ir sasaiste ar digitālo dimensiju, ņemot vērā, ka 2.2.1.5.i. investīcijas ir 100 procentus vērsta uz digitālo mērķu sasniegšanu, un 2.2.1.5.i. investīcijas procesu modernizēšanas pasākuma attiecināmās izmaksas ir tieši attiecināmas uz digitālo dimensiju, kas noteikta regulas Nr. 2021/241 16. panta 2. punkta (b) daļas ii apakšpunktā (Digitālās dimensijas intervences kods: 010 – MVU vai lielo uzņēmumu digitalizācija (tostarp e-komercija, e-darījumi un uzņēmējdarbības procesi tīklā, digitālās inovācijas centri, “dzīvās laboratorijas”, tīmekļa uzņēmēji un IKT jaunuzņēmumi, B2B).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2.2.1.5.i. investīcijas novērtējumā Atveseļošanas un noturības mehānisma plāna,  2021.-2026. gadam, 1. pielikumā norādīts, ka nav konstatēta negatīva ietekme uz vidi. Finansējuma saņēmēja pienākums projekta iesnieguma ietvaros ir izvērtēt un nodrošināt, ka ievēro visus principa “Nenodarīt būtisku kaitējumu”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vērtējot ietekmi uz klimata pārmaiņu mazināšanu, 2.2.1.5.i. investīcija mediju digitālā transformācija ilgtermiņā veicinās SEG emisiju samazināšanu, veicinot digitālo abonēšanu un samazinoties papīra kā informācijas nesēja izmantošanai, tiks samazināts  nepieciešamais resurss – koks, kas nepieciešams papīra ražošanai, tādējādi veicinot CO2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vērtējot ietekmi uz pielāgošanos klimata pārmaiņām 2.2.1.5.i. investīcijas neizraisa pašreizējā klimata un gaidāmā klimata nelabvēlīgās ietekmes palielināšanos uz pašu darbību vai uz cilvēkiem, dabu vai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vērtējot ietekmi uz  ūdens un jūras resursu ilgtspējīgu izmantošanu un aizsardzību, secināms, ka atbalstītajai darbībai ir nebūtiska paredzamā ietekme uz šo vides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vērtējot ietekmi uz aprites ekonomiku, tostarp atkritumu rašanās novēršanu un pārstrādi atbalstītajai darbībai ir nebūtiska paredzamā ietekme uz šo vides mērķi un būtiski nepalielina atkritumu rašanos, sadedzināšanu vai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vērtējot ietekmi uz piesārņojuma novēršanu un to kontroli gaisā, ūdenī vai zemē ir nebūtiska paredzamā ietekme uz šo vides mērķi un īstenošanas rezultātā būtiski nepieaug piesārņotāju emisijas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kritērijs tiek izpildīti un uzraudzība notiek saskaņā ar nacionālajos normatīvajos aktos noteikto, kā arī tiek vērtēts kā specifiskais atbilstības kritērijs projektu iesniegumu atlases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aicina ievērot sociāli atbildīga publiskā iepirkuma piemērošanu, tai skaitā,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mēģināt paplašināt sociālo standartu ievērošanu. Gadījumos, kad nepieciešams veikt iepirkumu, projektu iesniedzēji tiek aicināti izvērtēt iespēju veikt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aicina projektu īstenotāju ievērot zaļā publiskā iepirkuma prasības, veicot datortehnikas un cita tehnoloģiskā aprīkojuma (iekārtu)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atbildība ir par projekta ietvaros piešķirtā finansējuma izlietošanu atbilstoši  līgumā par projekta īstenošanu noteiktajam, tai skaitā īstenojot projektu, jāievēro arī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būs jāapliecina un jānodrošina, ka tiks ievērota demarkācija ar citu Atveseļošanas fonda investīciju, Eiropas Savienības fondu un citu atbalsta pasākumu finansējumu. Finansējuma saņēmējam būs jāapliecina un jānodrošina, ka netiks pieļauts dubultfinasējums par vienām un tām pašām izmaksām. Konstatējot pārkāpumus, finansējuma saņēmējam finansējums būs jāatgriež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novembrī starp Kultūras ministriju un Centrālo finanšu un līgumu aģentūru noslēgta starpresoru vienošanās “Starpresoru vienošanās par sadarbību Eiropas Savienības Atveseļošanas un noturības mehānisma īstenošanā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2.2.1.5.i. investīcijas procesu modernizēšanas pasākuma ietvaros, Centrālā finanšu un līgumu aģentūra, atbilstoši normatīvajiem aktiem par Eiropas Savienības Atveseļošanas un noturības mehānisma plāna īstenošanas un uzraudzības kārtību, nodrošina investīciju projektu iesniegumu atlasi, slēdz līgumu par projekta īstenošanu un nodrošina investīcijas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atlasei Centrālā finanšu un līgumu aģentūra izveido projektu atlases komisiju, kurā piedalās Kultūras ministrijas deleģēti pārstāvji un bez balsstiesībām informācijas tehnoloģiju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noteikti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Eiropas Komisijas pārstāvjiem konstatēts, ka Kultūras ministrijas plānotie atbalsta pasākumi reģionālajiem medijiem un ziņu medijiem (gan interneta platformās bāzētiem, gan drukātā veidā iznākošiem) nav uzskatāms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konsultācijās netika gūta pārliecība, ka atbalsts televīzijas un radio pakalpojumu sniedzējiem nebūtu uzskatāms par valsts atbalstu, jo šajā tirgus segmentā Eiropas Savienībā bieži ir konstatējama citās dalībvalstīs reģistrētu komersantu darbība citā Eiropas Savienības dalībvalstī. Līdz ar to valsts atbalsta sniegšana šādiem komersantiem varētu radīt konkurences priekšrocības pret citiem iekšējā tirgus dalībniekiem un šāds atbalsts nebūtu saderīgs ar Līgumu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Komisijai tika sniegta papildu informācija par Latvijas mediju uzņēmumu īpašumtiesību struktūru, no kuras konstatējams, ka ārvalstu īpašnieku proporcija ir tik zema, ka nerada būtisku efektu uz tirdzniecību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latviešu valoda tiek lietota šaurā ģeogrāfiskā tvērumā un salīdzinoši mazskaitlīgā personu lokā, secināms, ka Latvijas mediju uzņēmumu pakalpojumi tiek sniegti vietējā vai reģionālā tirgū, kā arī tirgus segmentā, kurā nav konstatējama būtiska citu dalībvalstu komersantu dalība. Tādējādi Kultūras ministrijas plānotie atbalsta pasākumi Latvijas mediju uzņēmumiem nevarētu ietekmēt patērētāju piesaisti ārpus Latvijas teritorijas, un ārpus personu loka, kuras lieto latviešu valodu. Līdz ar to uzskatāms, ka Kultūras ministrijas plānotie atbalsta pasākumi neradīs ietekmi uz Eiropas Savienības iekšējo tirgu, proti, nekropļos konkurenci tirdzniecībai starp dalībvalstīm. Ņemot vērā minēto, Kultūras ministrija secina, ka aprakstītie atbalsta pasākumi Latvijas mediju uzņēmumiem nav uzskatāmi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22. augustā Kultūras ministrijas saņēma Finanšu ministrijas vēstuli Nr. 7-4/18/2544, ar kuru pārsūtīts Eiropas Komisijas Konkurences ģenerāldirektorāta viedoklis, kurā norādīts, ka Eiropas Komisijas pārstāvji piekrīt Kultūras ministrijas secinājumam, ka plānotie atbalsta pasākumi Latvijas medijiem, kas veido saturu latviešu valodā, auditorijai Latvijā, ir ar nebūtisku ietekmei uz Eiropas Savienības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ietvaros paredzētais atbalsts mediju nozares uzņēmumiem veicinās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ietvaros sniegtais atbalsts veicinās mediju nozares uzņēmumu digitālo transformāciju, kas nodrošinās to konkurētspēju. Tā rezultātā tiks veicināts Latvijas mediju vides plurālisms, kas ir viens no mediju politikas sasniedzamajiem mērķiem. Jaunu zināšanu un tehnoloģiju ieviešana mediju darbība veicinās nozares produktivitāti, rezultātā ar zemākām izmaksām radot galaproduktu. Vienlaikus tiks veicināta mediju nozarē strādājošo konkurētspēja, ņemot vērā, ka būs nepieciešams pielāgot prasmes darbam jaunākām tehnoloģijām. Investīcijas mediju digitālajā transformācijā veicinās to konkurētspēju ar ārvalstu pakalpojumu sniedzējiem, tādējādi nodrošinot papildu nodokļu ieņēmumus valsts budžetā.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 ietvaros atbalstāmās darbības ļaus mediju nozares komersantiem nodrošināt investīciju ieguldījumus procesu digitalizācijā, paaugstinot to produktivitāti.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2.2.1.5.i. investīcijas procesu modernizēšanas pasākuma īstenošanai Atveseļošanas fonda finansējums ir 3 700 000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apguve un aktivitāte plānota 2024., 2025. un 2026. gadā, kur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3 700 000 x 50% = 1 850 000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3 700 000 x 40% = 1 480 000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3 700 000 x 10% = 370 000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attiecināmības termiņš ir līdz 2026. gada 30. jūnijam.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pasākumam nepieciešamais Atveseļošanās fonda finansējums tiks pieprasīts no budžeta programmas 80.00.00 “Nesadalītais finansējums Eiropas Savienības politiku instrumentu un pārējās ārvalstu finanšu palīdzības līdzfinansēto projektu un pasākumu īstenošanai”. 2.2.1.5.i. investīcijas procesu modernizēšanas pasākuma ietvaros pievienotās vērtības nodokļa izmaksas finansējuma saņēmēji nodrošinās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 (ES) Nr. 2021/241 ar ko izveido Atveseļošanas un noturības mehānismu (Eiropas Savienības Oficiālais vēstnesis 18.02.2021, L 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pasākumu plānots īstenot saskaņā ar Eiropas Parlamenta un Padomes 2021. gada 12. februāra Regulā (ES) Nr. 2021/241 noteiktajiem Atveseļošanās fonda vispārīgajiem, finansiālajiem, institucionālajiem un uzraudzības noteikumiem. Regulā noteikts, ka 2.2.1.5.i. investīcijas attiecināmās izmaksas ir tieši attiecināmas uz digitālo dimensiju.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(Eiropas Savienības Oficiālais vēstnesis 30.07.2018, L 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noritēs atbilstoši Centrālās finanšu un līgumu aģentūras izstrādātā projektu iesniegumu atlases nolikuma prasībām, tai skaitā, veicot finansējuma saņēmēja atbilstības novērtējumu Eiropas Parlamenta un Padomes 2018. gada 18. jūlija Regulā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noteiktajiem izslēgšanas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un Latvijas Republikas Atveseļošanas un noturības mehānisma 2021. gada 3. septembra finansēšanas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 (ES) Nr. 2021/241 ar ko izveido Atveseļošanas un noturības mehānismu (Eiropas Savienības Oficiālais vēstnesis 18.02.2021, L 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 un 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(Eiropas Savienības Oficiālais vēstnesis 30.07.2018, L 193).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un Latvijas Republikas Atveseļošanas un noturības mehānisma 2021. gada 3. septembra finansēšanas nolīgums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 Latvijas Pašvaldību savienība, Biedrība "Latvijas Elektronisko komunikāciju asociācija", biedrība "Latvijas Informācijas tehnoloģiju klasteris"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konsultatīvā padome 2023. gada 18. oktobra sēdē izskatīja Projektu un atbalstīja tālāku virzību apstiprināšanai Ministru kabinetam.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pasākums būtiski sekmē klimata pārmaiņu mazināšanas mērķi saskaņā ar Taksonomijas regulas 10. panta pirmās daļas “c” apakšpunktā minēto darbību “Palielināt videi nekaitīgu vai klimatneitrālu mobilitāti” sasniegšanu, ko atbalsta infrastruktūras ieguldījumi platjoslas infrastruktūras izveidē, kas nodrošina pakalpojumu saņemšanu e-vidē.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procesu modernizēšanas pasākums būtiski sekmē klimata pārmaiņu mazināšanas mērķi saskaņā ar Eiropas Parlamenta un Padomes Regulas (ES) 2020/852 (2020. gada 18. jūnijs) par regulējuma izveidi ilgtspējīgu ieguldījumu veicināšanai un ar ko groza Regulu (ES) 2019/2088 10.panta pirmās daļas “c” apakšpunktā minēto darbību “Palielināt videi nekaitīgu vai klimatneitrālu mobilitāti” sasniegšanu, ko atbalsta ieguldījumi, kas nodrošina pakalpojumu saņemšanu e-vidē.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2.2.1.5.i investīcijas novērtējumā norādīts, ka nav tikusi konstatēta negatīva ietekme uz vidi. Finansējuma saņēmēja un projekta īstenotāja pienākums ir izvērtēt un nodrošināt, ka ievēro visus principa ”Nenodarīt būtisku kaitējumu” nosacījumus.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23-TA-2953</w:t>
    </w:r>
    <w:r>
      <w:br/>
    </w:r>
    <w:r w:rsidR="00000000" w:rsidRPr="00000000" w:rsidDel="00000000">
      <w:rPr>
        <w:rtl w:val="0"/>
      </w:rPr>
      <w:t xml:space="preserve">Izdrukāts 29.07.2026. 23.26 - 6.0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23-TA-2953</w:t>
    </w:r>
    <w:r>
      <w:br/>
    </w:r>
    <w:r w:rsidR="00000000" w:rsidRPr="00000000" w:rsidDel="00000000">
      <w:rPr>
        <w:rtl w:val="0"/>
      </w:rPr>
      <w:t xml:space="preserve">Izdrukāts 29.07.2026. 23.26 - 6.0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anotācija_(ex_ante)_23-TA-2953.docx</dc:title>
</cp:coreProperties>
</file>

<file path=docProps/custom.xml><?xml version="1.0" encoding="utf-8"?>
<Properties xmlns="http://schemas.openxmlformats.org/officeDocument/2006/custom-properties" xmlns:vt="http://schemas.openxmlformats.org/officeDocument/2006/docPropsVTypes"/>
</file>