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 Grozījumi Ministru kabineta 2023. gada 22.augusta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Noteikumu projekts) izstrādāts, lai veiktu tehniskus precizējumus.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mazinātu administratīvo slogu un prasības 1.2.3.6. pasākuma "Tūrisma produktu attīstības programma" projektu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Noteikumi Nr. 473) paredz, ka Atbildīgā iestāde izstrādās vienkāršoto izmaksu metodiku 2. kārtas projekta vadības un īstenošanas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473 īstenošanā ir noslēgtas 2 atlases - pirmās kārtas ietvaros noslēgts līgums ar Latvijas Investīciju un attīstības aģentūru un otrās kārtas ietvaros noslēgti 8 līgumi ar sadarbības tīkla dalībniekiem. Grozījumi nav būtiski un neietekmēs abu kārtu projektu īstenošanu un tā mērķu sasniegšanu.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473 47. punkts nosaka, ka Otrās kārtas ietvaros sadarbības tīkla projekta vadības un projekta īstenošanas personāla atlīdzības izmaksas attiecināmas atbilstoši atbildīgās iestādes izstrādātajai vienkāršoto izmaksu metodikai, kas saskaņota ar vadošo iestādi, no līguma par projekta īstenošanu noslēgšanas brīža starp sadarbības iestādi un sadarbības tīklu. Lai iegūtu un identificētu vēsturiskos datus no Eiropas Savienības 2014. - 2020. gada plānošanas perioda Darbības programmas "Izaugsme un nodarbinātība" 3.2.1. specifiskā atbalsta mērķa "Palielināt augstas pievienotās vērtības produktu un pakalpojumu eksporta proporciju" 3.2.1.1. pasākuma "Klasteru programma" pirmās projektu iesniegumu atlases kārtas īstenošanas noteikumu projektu īstenotājiem, būtu nepieciešams pārskatīt 14 projektu īstenotāju sniegto, kas ir aptuveni 280 progresa pārskatos iesniegto informāciju un iesniegtos pamatojošos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Vienkāršoto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473 10. punktā noteikts, ka otrās kārtas ietvaros viena sadarbības tīkla projekta iesnieguma maksimāli pieļaujamais finansējuma apmērs ir 615 668 </w:t>
      </w:r>
      <w:r w:rsidR="00000000" w:rsidRPr="00000000" w:rsidDel="00000000">
        <w:rPr>
          <w:i w:val="1"/>
          <w:rtl w:val="0"/>
        </w:rPr>
        <w:t xml:space="preserve">euro</w:t>
      </w:r>
      <w:r w:rsidR="00000000" w:rsidRPr="00000000" w:rsidDel="00000000">
        <w:rPr>
          <w:rtl w:val="0"/>
        </w:rPr>
        <w:t xml:space="preserve">, savukārt 36. punktā ietvaros noteikts, ka pirmās kārtas ietvaros personāla atlīdzības izmaksas, tai skaitā darba alga, valsts sociālās apdrošināšanas obligātās iemaksas un atvaļinājuma nauda maksimāli pieļaujamais finansējuma apmērs ir 364 800 </w:t>
      </w:r>
      <w:r w:rsidR="00000000" w:rsidRPr="00000000" w:rsidDel="00000000">
        <w:rPr>
          <w:i w:val="1"/>
          <w:rtl w:val="0"/>
        </w:rPr>
        <w:t xml:space="preserve">euro</w:t>
      </w:r>
      <w:r w:rsidR="00000000" w:rsidRPr="00000000" w:rsidDel="00000000">
        <w:rPr>
          <w:rtl w:val="0"/>
        </w:rPr>
        <w:t xml:space="preserve">, secināms, ka projektiem abās kārtās minimālais attiecināmo izmaksu apmērs noteikts ne mazāk kā 200 000 </w:t>
      </w:r>
      <w:r w:rsidR="00000000" w:rsidRPr="00000000" w:rsidDel="00000000">
        <w:rPr>
          <w:i w:val="1"/>
          <w:rtl w:val="0"/>
        </w:rPr>
        <w:t xml:space="preserve">euro </w:t>
      </w:r>
      <w:r w:rsidR="00000000" w:rsidRPr="00000000" w:rsidDel="00000000">
        <w:rPr>
          <w:rtl w:val="0"/>
        </w:rPr>
        <w:t xml:space="preserve">(ieskaitot). Līdz ar to neizpildās obligāta Eiropas Parlamenta un Padomes 2021. 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otrās kārtas ietvaros ir izvērtējusi budžeta projekta piemērošanas metodi, bet, ņemot vērā, lai iegūtu un identificētu vēsturiskos datus no Eiropas Savienības 2014. - 2020. gada plānošanas perioda Darbības programmas "Izaugsme un nodarbinātība" 3.2.1. specifiskā atbalsta mērķa "Palielināt augstas pievienotās vērtības produktu un pakalpojumu eksporta proporciju" 3.2.1.1. pasākuma "Klasteru programma" pirmās projektu iesniegumu atlases kārtas īstenošanas noteikumu projektu īstenotājiem, būtu nepieciešams pārskatīt 14 projektu īstenotāju sniegto informāciju un iesniegtos pamatojošos dokumentus visos maksājuma pieprasījumos (iesniegtā informācija ir iesniegta dažādos formātos un nav iespējams to sistemātiski apkopot). Atbildīgā iestāde secina, ka tas ir ievērojams administratīvais slogs vienotās likmes izstrādātajiem ar nesamērīgi zemu pienesumu projekta īstenošanā, kas neatspēkotu pēcāk esošo administratīvo slogu. Turklāt metodikas izstrāde neatbrīvo finansējuma saņēmēju no pienākuma uzkrāt un pamatot projekta īstenošanas laikā segtos izdevumus. Tāpat otrās kārtas ietvaros izmaksas projekta vadības un īstenošanas personālam nepārsniedz 30% no projekta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pirmās kārtas ietvaros metodika mazinātu administratīvo slogu, bet vienlaikus personāla slodzes likme ir mainīgais lielums projektā, attiecīgi tad Atbildīgajai iestādei būtu jāveic metodikas precizēšana un papildus darbības, kas administratīvo slogu tikai palielinātu. Papildus administratīvais slogs veidotos CFLA un daļēji arī Finansējuma Saņēmējam, jo regulāri būtu nepieciešams veikt aprēķinus attiecināmajai summai no likmes pilnai slodzei pret faktisko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Atbildīgā iestāde ar grozījumiem MK noteikumos Nr. 473 svītros normas par vienkāršoto izmaksu metodiku izstrādi, nepiemēros vienkāršoto izmaksu metodiku pirmās un otrās kārtas personāla izmaksām. Līdz ar MK noteikumu Nr.473 47. punkta svītrošanu izmaksas tiek attiecinātas atbilstoši faktiskajam izlietojumam kopš MK noteikumu Nr.473 spēkā stāšanās brīža. Vienlaikus, projekta ieviešanas laikā Atbildīgā iestāde vērtēs, vai pamatojoties uz projekta datiem, projekta īstenošanas laikā var uzsākt vienkāršotās izmaksas piemērošanu, attiecīgi metodikas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neietekmēs abu kārtu projektu īstenošanu un tā mērķu sasniegšanu. Pirmās kārtas ietvaros ir noslēgts līgums ar vienu Finansējuma saņēmēju un otrajā kārtā ar astoņiem finansējuma saņēmējiem, izmaksas līdz šim ir attiecinātas atbilstoši faktiskajam izlietojumam. Finansējuma saņēmēji pēc MK noteikumu Nr.473 apstiprināšanas tika informēti par izmaksu attiecināšanu atbilstoši faktiskajam izlietojumam, attiecīgi nav ietekmes uz jau apstiprinātajiem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Izmaksu attiecināšana pēc faktiskā izlietojuma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vadlīnijās Nr. 1.2. "</w:t>
      </w:r>
      <w:r w:rsidR="00000000" w:rsidRPr="00000000" w:rsidDel="00000000">
        <w:rPr>
          <w:i w:val="1"/>
          <w:rtl w:val="0"/>
        </w:rPr>
        <w:t xml:space="preserve">Vadlīnijas attiecināmo izmaksu noteikšanai Eiropas Savienības kohēzijas politikas programmas 2021.-2027. gada plānošanas periodā" </w:t>
      </w:r>
      <w:r w:rsidR="00000000" w:rsidRPr="00000000" w:rsidDel="00000000">
        <w:rPr>
          <w:rtl w:val="0"/>
        </w:rPr>
        <w:t xml:space="preserve">noteikto, MK noteikumos Nr.473 tiek papildināti ar nosacījumiem izmaksu attiecināšanai pēc faktiskā izlietojuma. Personāla izmaksās iekļauj to darbinieku personāla izmaksas, kuri noteiktā laika posmā ne mazāk kā 30% no normālā darba laika katrā mēnesī veic pienākumus, kas saistīti ar projektu, un tas ir pamatots ar atbilstošiem izmaksas pamatojošiem dokumentiem. Vienlaikus, tiešajām attiecināmajām projekta vadības personāla izmaksām ES fondu daļai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Regulas aizstāšana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spēku zaudējusi Komisijas regula Nr. 2018/1046, MK noteikumu projektā tā tiek aizstāta Eiropas Parlamenta un Padomes 2024. gada 23. septembra regulu Nr. 2024/2509 par finanšu noteikumiem, ko piemēro Savienības vispārējam budžetam (turpmāk – Regula Nr.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atsauces tiek precizētas MK noteikumu Nr. 473. 73., 74., 75. punktā un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uz projekta iesnieguma iesniegšanas brīdi spēka bija Komisijas regula Nr. 2018/1046, līdz ar to uz projekta iesnieguma brīdi tika apliecināts, ka finansējuma saņēmējs ir informēts par Komisijas regulu Nr. 2018/1046, taču atsauces uz atcelto Regulu 2018/1046 uzskata par atsaucēm uz Regulu 2024/2509 un tās lasa saskaņā ar atbilstības tabulu Eiropas Parlamenta un Padomes Regulas 2024/2509 II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Eiropas Komisijas 2021. gada 9. aprīļa paziņojumu Nr. C/2021/2119 "Norādījumi par izvairīšanos no interešu konfliktiem un to pārvaldību saskaņā ar Finanšu regulu" - šis dokuments ir juridiski nesaistošs (tam ir ieteikuma raksturs), un noteikumu projektā nav pieļaujams atsaukties vai uzlikt par pienākumu ievērot juridiski nesaistošus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473 2.6. apakšpunktā ir noteikts, ka sadarbības tīkls ir biedrība vai nodibinājums, kas apvieno sadarbības tīkla dalībniekus – sīkos (mikro), mazos un vidējos komersantus, kas iesaistījušies biedrībā kā biedri vai ir nodibinājuma dibinātāji un iesaistās biedrības vai nodibinājuma mērķa sasniegšanā. Savukārt, sadarbības tīkls var iesaistīt aktivitātēs komersantu, kurš nav piesaistīts projektā kā sadarbības tīkla biedrs, ja komersants līdzfinansē savu dalību šajās projekta aktivitātēs.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24-TA-2300</w:t>
    </w:r>
    <w:r>
      <w:br/>
    </w:r>
    <w:r w:rsidR="00000000" w:rsidRPr="00000000" w:rsidDel="00000000">
      <w:rPr>
        <w:rtl w:val="0"/>
      </w:rPr>
      <w:t xml:space="preserve">Izdrukāts 29.07.2026. 22.25 - 3.0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24-TA-2300</w:t>
    </w:r>
    <w:r>
      <w:br/>
    </w:r>
    <w:r w:rsidR="00000000" w:rsidRPr="00000000" w:rsidDel="00000000">
      <w:rPr>
        <w:rtl w:val="0"/>
      </w:rPr>
      <w:t xml:space="preserve">Izdrukāts 29.07.2026. 22.25 - 3.0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anotācija_(ex_ante)_24-TA-2300.docx</dc:title>
</cp:coreProperties>
</file>

<file path=docProps/custom.xml><?xml version="1.0" encoding="utf-8"?>
<Properties xmlns="http://schemas.openxmlformats.org/officeDocument/2006/custom-properties" xmlns:vt="http://schemas.openxmlformats.org/officeDocument/2006/docPropsVTypes"/>
</file>