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Sociālo pakalpojumu un sociālās palīdzības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Latvijas Pašvaldību savienības Domes 2023. gada 20. oktobra sēdē, kurā piedalījās arī Ministru prezidente E.Siliņa, panāktā vienošanās.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bērnu ievietošanu ilgstošas sociālās aprūpes un sociālās rehabilitācijas institūcijās un atslogotu pašvaldību budžetu, līdzfinansēt aprūpes mājās pakalpojumu bērniem ar smagiem un ļoti smagiem funkcionāliem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iekļaujams budžeta likuma 2024. gadam pavadošo likumprojektu paketē.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pašvaldību un plānošanas reģionu bažas par ilgtspējas nodrošināšanu pēc Deinstitucionalizācijas projekta beigām (projekta ietvaros izveidoto pakalpojumu ilgtspēju, kam Plānošanas reģioni saskaņā ar pēdējā maksājuma pieprasījumā iekļauto informāciju mēnesī izlietojuši 2,1 mlj. </w:t>
      </w:r>
      <w:r w:rsidR="00000000" w:rsidRPr="00000000" w:rsidDel="00000000">
        <w:rPr>
          <w:i w:val="1"/>
          <w:rtl w:val="0"/>
        </w:rPr>
        <w:t xml:space="preserve">euro</w:t>
      </w:r>
      <w:r w:rsidR="00000000" w:rsidRPr="00000000" w:rsidDel="00000000">
        <w:rPr>
          <w:rtl w:val="0"/>
        </w:rPr>
        <w:t xml:space="preserve">), būtiska ir valsts līdzfinansējuma nodrošināšana pašvaldību kapacitātes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paredzēts šāds finansiāls atbalsts pašvaldību kapacitātes stiprināšanai pakalpojumu ilgtspējas nodrošināšanai, proti, prioritāro pasākumu ietvaros ir atbalstīts piešķīrums sociālās komponentes nodrošināšanai integrētā hospisa aprūpes pakalpojuma ietvaros (Labklājības ministrijas 2024.-2026. gada prioritārais pasākums “Paliatīvās aprūpes sistēmas pilnveidošana”). Tādējādi tiks atslogots pašvaldību budžets, kas minētā pakalpojuma neesamības gadījumā būtu tērējams aprūpes mājās vai aprūpes institūcijā pakalpojuma nodrošināšanai hospiss (paliatīvās) aprūpes klientiem. Tādējādi pašvaldībām radīsies iespējas finansējuma daļējai aizstāšanai. Pašvaldībai pienākums ir nodrošināt aprūpes mājās pakalpojumu personām ar smagiem funkcionāliem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bērnu ievietošanu ilgstošas sociālās aprūpes un sociālās rehabilitācijas institūcijās un nodrošinātu uz bērna individuālajām vajadzībām vērstus sociālos pakalpojumus un atbalstu dzīvesvietā, nepieciešams finansējums aprūpes mājās pakalpojuma nodrošināšanai bērniem. Šobrīd valsts nepiedalās ar līdzfinansējumu aprūpes mājās pakalpojuma nodrošināšanā. Lai šo problēmu risinātu, nepieciešams valsts līdzfinansējums 30% apmērā aprūpes mājās pakalpojumam bērniem un jauniešiem līdz 24 gadu vecumam ar smagiem un ļoti smagiem funkcionāliem traucējumiem, kuriem ir vai līdz 18 gadu vecumam ir bijis izsniegts Veselības un darbspēju ekspertīzes ārstu valsts komisijas atzinums par īpašās kopšanas nepieciešamību. Personām (bērniem) sasniedzot 24 gadu vecumu, valsts līdzfinansējumu izbeidz.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līdzfinansējums pašvaldībām aprūpes mājās pakalpojumam bērniem plānots no 2024. 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Latvijas Pašvaldību savienības Domes 2023. gada 20. oktobra sēdē, kurā piedalījās arī Ministru prezidente E.Siliņa, panākta vienošanās par valsts līdzfinansējuma nodrošināšanu minimālajā sociālo pakalpojumu grozā ietilpstošam pakalpojumam - aprūpei mājās bērniem ar smagiem un ļoti smagiem funkcionāliem traucējumiem 5,5 milj. </w:t>
      </w:r>
      <w:r w:rsidR="00000000" w:rsidRPr="00000000" w:rsidDel="00000000">
        <w:rPr>
          <w:i w:val="1"/>
          <w:rtl w:val="0"/>
        </w:rPr>
        <w:t xml:space="preserve">euro</w:t>
      </w:r>
      <w:r w:rsidR="00000000" w:rsidRPr="00000000" w:rsidDel="00000000">
        <w:rPr>
          <w:rtl w:val="0"/>
        </w:rPr>
        <w:t xml:space="preserve"> apmērā 2024.gadam un turpmāk ik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13.pantu  ar vienpadsmito daļu, nosakot, ka valsts piedalās ar līdzfinansējumu aprūpes mājās pakalpojuma nodrošināšanā bērniem ar invaliditāti, kuriem ir izsniegts Veselības un darbspēju ekspertīzes ārstu valsts komisijas atzinums par īpašas kopšanas nepieciešamību. Līdzfinansējums par bērnu tiek turpināts arī pēc pilngadības sasniegšanas, bet ne ilgāk kā līdz bērna 24 gadu vecuma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18 473 400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18 473 400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18 473 400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5 542 020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12 931 380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12 931 380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12 931 380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-18 473 400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-18 473 400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-18 473 400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-5 542 020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-12 931 380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-12 931 380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-12 931 380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-18 473 400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-18 473 400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-18 473 400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-5 542 020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-12 931 380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-12 931 380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-12 931 380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nosaka, ka valsts piedalās ar līdzfinansējumu aprūpes mājās pakalpojuma nodrošināšanā bērniem ar invaliditāti, kuriem ir izsniegts Veselības un darbspēju ekspertīzes ārstu valsts komisijas atzinums par īpašas kopšanas nepieciešamību. Valsts turpina piedalīties ar līdzfinansējumu minētā pakalpojuma nodrošināšanā bērnam arī pēc pilngadības sasniegšanas līdz persona sasniedz 24 gadu vecumu.  Līdzfinansējuma apjomu, piešķiršanas un līdzfinansēšanas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Lai novērstu bērnu ievietošanu ilgstošas sociālās aprūpes un sociālās rehabilitācijas institūcijās un nodrošinātu uz bērna individuālajām vajadzībām vērstus sociālos pakalpojumus un atbalstu dzīvesvietā, </w:t>
            </w:r>
            <w:r w:rsidR="00000000" w:rsidRPr="00000000" w:rsidDel="00000000">
              <w:rPr>
                <w:sz w:val="24"/>
                <w:b w:val="1"/>
                <w:rtl w:val="0"/>
              </w:rPr>
              <w:t xml:space="preserve">plānots valsts līdzfinansējums 30% apmērā no faktiskajām pašvaldību izmaksām par sniegto</w:t>
            </w:r>
            <w:r w:rsidR="00000000" w:rsidRPr="00000000" w:rsidDel="00000000">
              <w:rPr>
                <w:sz w:val="24"/>
                <w:rtl w:val="0"/>
              </w:rPr>
              <w:t xml:space="preserve"> aprūpes mājās </w:t>
            </w:r>
            <w:r w:rsidR="00000000" w:rsidRPr="00000000" w:rsidDel="00000000">
              <w:rPr>
                <w:sz w:val="24"/>
                <w:b w:val="1"/>
                <w:rtl w:val="0"/>
              </w:rPr>
              <w:t xml:space="preserve">pakalpojumu </w:t>
            </w:r>
            <w:r w:rsidR="00000000" w:rsidRPr="00000000" w:rsidDel="00000000">
              <w:rPr>
                <w:sz w:val="24"/>
                <w:rtl w:val="0"/>
              </w:rPr>
              <w:t xml:space="preserve">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beigās VDEĀVK atzinums par īpašas kopšanas nepieciešamību bija 3421 bērnam un jauniešu skaits, kuriem noteikta I grupas invaliditāte ar VDEĀVK atzinumu par īpašas kopšanas nepieciešamību  - 571.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aprūpes mājās pakalpojuma bērniem mērķa grupa ir 3 992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Aprūpes mājās pakalpojuma apjoms vērtējams atbilstoši katras personas individuālajām vajadzībām, kas var ļoti atšķirties. Prognozējot vidējo pakalpojuma saņēmēju skaitu gadā, plānošanā pieņem, ka jauniešiem vecumā no 18 līdz 24 gadiem, kuriem ir noteikta I grupas invaliditāte ar VDEĀVK atzinumu par īpašas kopšanas nepieciešamību, aprūpes mājās pakalpojums bērniem procentuāli tiks sniegts lielākam skaitam no mērķa grupas (30% no mērķa grupas) salīdzinoši ar bērniem, kuriem ir VDEĀVK atzinums par īpašas kopšanas nepieciešamību (20% no mērķa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Bērni ar invaliditāti, kuriem ir izsniegts VDEĀVK atzinums par īpašas kopšanas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Mērķa grupa 3421 persona x 0,2 (20%) = 684 personas. Plānotais pakalpojuma apjoms gadā – 246 330 dienas </w:t>
            </w:r>
            <w:r w:rsidR="00000000" w:rsidRPr="00000000" w:rsidDel="00000000">
              <w:rPr>
                <w:sz w:val="24"/>
                <w:i w:val="1"/>
                <w:rtl w:val="0"/>
              </w:rPr>
              <w:t xml:space="preserve">( 246 330 dienas : 684 personas = vidēji 360 dienas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Jauniešiem vecumā no 18 līdz 24 gadiem, kuriem ir noteikta I grupas invaliditāte ar VDEĀVK atzinumu par īpašas kopšanas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Mērķa grupa 571 persona x 0,3 (30%) = 171 persona. Plānotais pakalpojuma apjoms gadā – 61 560 dienas </w:t>
            </w:r>
            <w:r w:rsidR="00000000" w:rsidRPr="00000000" w:rsidDel="00000000">
              <w:rPr>
                <w:sz w:val="24"/>
                <w:i w:val="1"/>
                <w:rtl w:val="0"/>
              </w:rPr>
              <w:t xml:space="preserve">(61 560 dienas : 171 persona = vidēji 360 dienas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Kopā: 307 890 dienas x 60</w:t>
            </w:r>
            <w:r w:rsidR="00000000" w:rsidRPr="00000000" w:rsidDel="00000000">
              <w:rPr>
                <w:sz w:val="24"/>
                <w:b w:val="1"/>
                <w:rtl w:val="0"/>
              </w:rPr>
              <w:t xml:space="preserve"> </w:t>
            </w:r>
            <w:r w:rsidR="00000000" w:rsidRPr="00000000" w:rsidDel="00000000">
              <w:rPr>
                <w:sz w:val="24"/>
                <w:i w:val="1"/>
                <w:rtl w:val="0"/>
              </w:rPr>
              <w:t xml:space="preserve">euro </w:t>
            </w:r>
            <w:r w:rsidR="00000000" w:rsidRPr="00000000" w:rsidDel="00000000">
              <w:rPr>
                <w:sz w:val="24"/>
                <w:rtl w:val="0"/>
              </w:rPr>
              <w:t xml:space="preserve">= 18 473 400 </w:t>
            </w:r>
            <w:r w:rsidR="00000000" w:rsidRPr="00000000" w:rsidDel="00000000">
              <w:rPr>
                <w:sz w:val="24"/>
                <w:i w:val="1"/>
                <w:rtl w:val="0"/>
              </w:rPr>
              <w:t xml:space="preserve">euro</w:t>
            </w:r>
            <w:r w:rsidR="00000000" w:rsidRPr="00000000" w:rsidDel="00000000">
              <w:rPr>
                <w:sz w:val="24"/>
                <w:rtl w:val="0"/>
              </w:rPr>
              <w:t xml:space="preserve">, t.sk. pašvaldību budžets 12 931 380 </w:t>
            </w:r>
            <w:r w:rsidR="00000000" w:rsidRPr="00000000" w:rsidDel="00000000">
              <w:rPr>
                <w:sz w:val="24"/>
                <w:i w:val="1"/>
                <w:rtl w:val="0"/>
              </w:rPr>
              <w:t xml:space="preserve">euro</w:t>
            </w:r>
            <w:r w:rsidR="00000000" w:rsidRPr="00000000" w:rsidDel="00000000">
              <w:rPr>
                <w:sz w:val="24"/>
                <w:rtl w:val="0"/>
              </w:rPr>
              <w:t xml:space="preserve"> (70%) un valsts budžets 5 542 020 </w:t>
            </w:r>
            <w:r w:rsidR="00000000" w:rsidRPr="00000000" w:rsidDel="00000000">
              <w:rPr>
                <w:sz w:val="24"/>
                <w:i w:val="1"/>
                <w:rtl w:val="0"/>
              </w:rPr>
              <w:t xml:space="preserve">euro</w:t>
            </w:r>
            <w:r w:rsidR="00000000" w:rsidRPr="00000000" w:rsidDel="00000000">
              <w:rPr>
                <w:sz w:val="24"/>
                <w:rtl w:val="0"/>
              </w:rPr>
              <w:t xml:space="preserv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1261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3"/>
              <w:gridCol w:w="2116"/>
              <w:gridCol w:w="1320"/>
              <w:gridCol w:w="1459"/>
              <w:gridCol w:w="1130"/>
              <w:gridCol w:w="1096"/>
              <w:gridCol w:w="1251"/>
              <w:gridCol w:w="2636"/>
              <w:gridCol w:w="2636"/>
              <w:tblGridChange w:id="0">
                <w:tblGrid>
                  <w:gridCol w:w="403"/>
                  <w:gridCol w:w="2116"/>
                  <w:gridCol w:w="1320"/>
                  <w:gridCol w:w="1459"/>
                  <w:gridCol w:w="1130"/>
                  <w:gridCol w:w="1096"/>
                  <w:gridCol w:w="1251"/>
                  <w:gridCol w:w="2636"/>
                  <w:gridCol w:w="2636"/>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bscript"/>
                      <w:rtl w:val="0"/>
                    </w:rPr>
                    <w:t xml:space="preserve">Nr. p. k. </w:t>
                  </w:r>
                </w:p>
              </w:tc>
              <w:tc>
                <w:tcPr>
                  <w:shd w:fill="ffffff"/>
                  <w:vAlign w:val="bottom"/>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mērķa grupa</w:t>
                  </w:r>
                </w:p>
              </w:tc>
              <w:tc>
                <w:tcPr>
                  <w:shd w:fill="ffffff"/>
                  <w:vAlign w:val="bottom"/>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Mērķa grupa</w:t>
                  </w:r>
                  <w:r w:rsidR="00000000" w:rsidRPr="00000000" w:rsidDel="00000000">
                    <w:rPr>
                      <w:sz w:val="24"/>
                      <w:vertAlign w:val="subscript"/>
                      <w:rtl w:val="0"/>
                    </w:rPr>
                    <w:t xml:space="preserve">(personu skaits)</w:t>
                  </w:r>
                </w:p>
              </w:tc>
              <w:tc>
                <w:tcPr>
                  <w:shd w:fill="ffffff"/>
                  <w:vAlign w:val="bottom"/>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Prognozējamais pakalpojuma saņēmēju skaits gadā </w:t>
                  </w:r>
                  <w:r w:rsidR="00000000" w:rsidRPr="00000000" w:rsidDel="00000000">
                    <w:rPr>
                      <w:sz w:val="24"/>
                      <w:vertAlign w:val="subscript"/>
                      <w:rtl w:val="0"/>
                    </w:rPr>
                    <w:t xml:space="preserve">(20% - 30% no mērķa grupas)</w:t>
                  </w:r>
                </w:p>
              </w:tc>
              <w:tc>
                <w:tcPr>
                  <w:shd w:fill="ffffff"/>
                  <w:vAlign w:val="bottom"/>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Pakalpojuma dienu skaits KOPĀ gadā</w:t>
                  </w:r>
                </w:p>
              </w:tc>
              <w:tc>
                <w:tcPr>
                  <w:shd w:fill="ffffff"/>
                  <w:vAlign w:val="bottom"/>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bscript"/>
                      <w:rtl w:val="0"/>
                    </w:rPr>
                    <w:t xml:space="preserve">Plānotais maksimālais pakalpojuma apjoms uz 1 pers. gadā (dienas)</w:t>
                  </w:r>
                </w:p>
              </w:tc>
              <w:tc>
                <w:tcPr>
                  <w:shd w:fill="ffffff"/>
                  <w:vAlign w:val="bottom"/>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Pakalpojuma izmaksas KOPĀ gadā, </w:t>
                  </w:r>
                  <w:r w:rsidR="00000000" w:rsidRPr="00000000" w:rsidDel="00000000">
                    <w:rPr>
                      <w:sz w:val="24"/>
                      <w:i w:val="1"/>
                      <w:vertAlign w:val="subscript"/>
                      <w:rtl w:val="0"/>
                    </w:rPr>
                    <w:t xml:space="preserve">euro</w:t>
                  </w:r>
                </w:p>
              </w:tc>
              <w:tc>
                <w:tcPr>
                  <w:shd w:fill="ffffff"/>
                  <w:vAlign w:val="bottom"/>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t.sk.</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pašvaldību budžets, euro</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valsts pamat- budžets, </w:t>
                  </w:r>
                  <w:r w:rsidR="00000000" w:rsidRPr="00000000" w:rsidDel="00000000">
                    <w:rPr>
                      <w:sz w:val="24"/>
                      <w:i w:val="1"/>
                      <w:vertAlign w:val="subscript"/>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1</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2</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3 </w:t>
                  </w:r>
                  <w:r w:rsidR="00000000" w:rsidRPr="00000000" w:rsidDel="00000000">
                    <w:rPr>
                      <w:sz w:val="24"/>
                      <w:vertAlign w:val="subscript"/>
                      <w:rtl w:val="0"/>
                    </w:rPr>
                    <w:t xml:space="preserve">1) 3=2*0.2</w:t>
                  </w:r>
                  <w:r w:rsidR="00000000" w:rsidRPr="00000000" w:rsidDel="00000000">
                    <w:rPr>
                      <w:sz w:val="24"/>
                      <w:vertAlign w:val="subscript"/>
                      <w:rtl w:val="0"/>
                    </w:rPr>
                    <w:t xml:space="preserve">2) 3=2*0.3</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4</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bscript"/>
                      <w:rtl w:val="0"/>
                    </w:rPr>
                    <w:t xml:space="preserve">5=4/3</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6=4*60 euro***</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7=6*0.7</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8=6*0.3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bērni, kuriem ir VDEĀVK atzinums par īpašas kopšanas nepieciešamību*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3421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vertAlign w:val="superscript"/>
                      <w:rtl w:val="0"/>
                    </w:rPr>
                    <w:t xml:space="preserve">684</w:t>
                  </w:r>
                  <w:r w:rsidR="00000000" w:rsidRPr="00000000" w:rsidDel="00000000">
                    <w:rPr>
                      <w:sz w:val="24"/>
                      <w:vertAlign w:val="superscript"/>
                      <w:rtl w:val="0"/>
                    </w:rPr>
                    <w:t xml:space="preserve">(3421 x 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246 330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14 779 800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10 345 860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4 433 940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jaunieši no 18 līdz 24 gadu vecumam, kuriem noteikta I invaliditātes grupa ar VDEĀVK atzinumu par īpašas kopšanas nepieciešamību**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571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vertAlign w:val="superscript"/>
                      <w:rtl w:val="0"/>
                    </w:rPr>
                    <w:t xml:space="preserve">171</w:t>
                  </w:r>
                  <w:r w:rsidR="00000000" w:rsidRPr="00000000" w:rsidDel="00000000">
                    <w:rPr>
                      <w:sz w:val="24"/>
                      <w:vertAlign w:val="superscript"/>
                      <w:rtl w:val="0"/>
                    </w:rPr>
                    <w:t xml:space="preserve">(571 x 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61 560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3 693 600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2 585 520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1 108 080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3992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vertAlign w:val="superscript"/>
                      <w:rtl w:val="0"/>
                    </w:rPr>
                    <w:t xml:space="preserve">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perscript"/>
                      <w:rtl w:val="0"/>
                    </w:rPr>
                    <w:t xml:space="preserve">307 890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18 473 400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12 931 380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vertAlign w:val="superscript"/>
                      <w:rtl w:val="0"/>
                    </w:rPr>
                    <w:t xml:space="preserve">5 542 020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*dati uz 31.12.2022.;</w:t>
            </w:r>
            <w:r w:rsidR="00000000" w:rsidRPr="00000000" w:rsidDel="00000000">
              <w:rPr>
                <w:sz w:val="24"/>
                <w:vertAlign w:val="superscript"/>
                <w:rtl w:val="0"/>
              </w:rPr>
              <w:t xml:space="preserve">**Dati no LabIS, 12.2022., dati atjaunoti ar 03.2023;</w:t>
            </w:r>
            <w:r w:rsidR="00000000" w:rsidRPr="00000000" w:rsidDel="00000000">
              <w:rPr>
                <w:sz w:val="24"/>
                <w:vertAlign w:val="superscript"/>
                <w:rtl w:val="0"/>
              </w:rPr>
              <w:t xml:space="preserve">***aprēķinā pieņemts, ka vienas dienas izmaksas ir 60 </w:t>
            </w:r>
            <w:r w:rsidR="00000000" w:rsidRPr="00000000" w:rsidDel="00000000">
              <w:rPr>
                <w:sz w:val="24"/>
                <w:i w:val="1"/>
                <w:vertAlign w:val="superscript"/>
                <w:rtl w:val="0"/>
              </w:rPr>
              <w:t xml:space="preserve">euro. Izmaksas pamatojoties uz ESF projekta ietvaros finansētu atelpas brīža pakalpojuma mājoklī bērniem ar funkcionāliem traucējumiem, kuriem noteikta īpašas kopšanas nepieciešamība (Īstenošanas laiks: 2021. gada 17.marts (līguma noslēgšana) līdz 2023.gada 31.janvārim). Faktiski izdevumi par sniegto pakalpojumu par 1 dienu var atšķirties no aprēķinā izmantotā apmēra.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u w:val="single"/>
                <w:vertAlign w:val="superscript"/>
                <w:rtl w:val="0"/>
              </w:rPr>
              <w:t xml:space="preserve">Aprēķini veikti excel vidē ar noapaļošanas funkciju (0 (nulle) zīmēm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aprūpes mājās pakalpojuma bērniem rezultatīvais rādītājs  - vidēji gadā 855 bērni. Faktiski pakalpojumu saņems vairāk personu, jo ne visiem pakalpojums tiks nodrošināts plānotajā maksimālajā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Pasākums tiks īstenots Labklājības ministrijas pamatbudžeta apakšprogrammas 05.01.00 "Sociālās rehabilitācijas valsts programmas" ietvaros (pārējie valsts budžeta uzturēšanas izdevumu transferti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saskaņā ar Ministru kabineta un Latvijas Pašvaldību savienības vienošanās un domstarpību protokola projekta 4. pielikumu uz likumprojekta „Par valsts budžetu 2024. gadam un budžeta ietvaru 2024., 2025. un 2026. gadam” izskatīšanu Saeimā otrajā lasījumā iesniegs priekšlikumu par valsts budžeta līdzfinansējumu 30% apmērā piešķiršanu pašvaldībām 2024. gadā un turpmākajiem gadiem aprūpes mājās pakalpojumu nodrošināšanai bērniem ar smagiem un ļoti smagiem funkcionāliem traucējumiem (priekšlikums pārdalīt finansējumu 5 542 020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Jāizstrādā MK noteikumi par valsts līdzfinansējumu sociālajam pakalpojumam.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netika organizēta. Netiek mainītas mērķa grupas tiesības uz pakalpojumu un projektam ir pozitīva ietekme uz mērķa grupas vajadzību nodrošināšanu, jo tiks sekmētas pašvaldību iespējas nodrošināt aprūpes mājās pakalpojumu.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10,73 euro/ h, t.sk. darba devēja VSAOI 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2h/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pašvaldību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mēn./gadā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11 073,36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Pakalpojuma finanšu un statistikas atskaišu apstrāde, naudas plūsmas nodrošināšana. LM veiks bez papildu finansējuma ar LM esošiem personāla resursiem.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Pašvaldību Sociālie dienesti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9.62 euro/ h, t.sk. darba devēja VSAOI 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4h/pašvaldība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pašvaldību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mēn./gadā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19 855,68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Pakalpojuma grāmatvedības uzskaite un izdevumu plānošana, lietvedības organizēšana u.c. administratīvās darbības, t.sk. atskaišu iesniegšana LM un norēķins ar pakalpojuma sniedzējiem.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30 929,04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valsts līdzfinansējums aprūpes mājās pakalpojumam bērniem ar smagiem un ļoti smagiem funkcionāliem traucējumiem.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23-TA-2679</w:t>
    </w:r>
    <w:r>
      <w:br/>
    </w:r>
    <w:r w:rsidR="00000000" w:rsidRPr="00000000" w:rsidDel="00000000">
      <w:rPr>
        <w:rtl w:val="0"/>
      </w:rPr>
      <w:t xml:space="preserve">Izdrukāts 30.07.2026. 00.22 - 2.0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23-TA-2679</w:t>
    </w:r>
    <w:r>
      <w:br/>
    </w:r>
    <w:r w:rsidR="00000000" w:rsidRPr="00000000" w:rsidDel="00000000">
      <w:rPr>
        <w:rtl w:val="0"/>
      </w:rPr>
      <w:t xml:space="preserve">Izdrukāts 30.07.2026. 00.22 - 2.0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anotācija_(ex_ante)_23-TA-2679.docx</dc:title>
</cp:coreProperties>
</file>

<file path=docProps/custom.xml><?xml version="1.0" encoding="utf-8"?>
<Properties xmlns="http://schemas.openxmlformats.org/officeDocument/2006/custom-properties" xmlns:vt="http://schemas.openxmlformats.org/officeDocument/2006/docPropsVTypes"/>
</file>