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kārtību, kādā tiek īstenots Eiropas Savienības kohēzijas politikas programmas 2021.-2027. gadam 5.1.1. specifiskā atbalsta mērķa “Vietējās teritorijas integrētās sociālās, ekonomiskās un vides attīstības un kultūras mantojuma, tūrisma un drošības veicināšana” 5.1.1.6. pasākums “Kultūras mantojuma saglabāšana un jaunu pakalpojumu attīstība”, paredzot valsts nozīmes kultūras pieminekļu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attīstības stratēģijā līdz 2030. gadam (turpmāk – Latvija2030) kā pirmā prioritāte noteikta Kultūras telpas attīstība. Prioritātes ietvaros izvirzīts mērķis – saglabāt un attīstīt Latvijas kultūras kapitālu un veicināt piederības izjūtu Latvijas kultūras telpai, attīstot sabiedrības radošumā balstītu konkurētspējīgu nacionālo identitāti un veidojot Latvijā kvalitatīvu kultūrvidi. Viens no risinājumiem Latvijas kultūras telpas stiprināšanai ir kultūras mantojuma potenciāla izmantošana radošā tūrisma attīstīšanai. Savukārt sestā prioritāte Latvija2030 ir Telpiskās attīstības perspektīva, kuras ietvaros izvirzītie mērķi ir stiprināt Latvijas un tās reģionu starptautisko konkurētspēju, palielinot Rīgas kā Ziemeļeiropas metropoles un citu valsts lielāko pilsētu starptautisko lomu, kā arī saglabāt Latvijas savdabību – daudzveidīgo dabas un kultūras mantojumu, tipiskās un unikālās ainavas.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Nacionālā attīstības plāna 2021.-2027. gadam (apstiprināts Saeimas 2020. gada 2. jūlija sēdē) (turpmāk – NAP2027) prioritātes “Kultūra un sports aktīvai un pilnvērtīgai dzīvei” rīcības virziena “Cilvēku līdzdalība kultūras un sporta aktivitātēs” 360. mērķis “Kultūras un fizisko aktivitāšu pieejamība visiem, paaugstinot Latvijas sabiedrības dzīves kvalitāti” nosaka 361. apakšmērķi “Līdzdalība kultūras dzīvē sekmē pilsoniskās sabiedrības attīstību un stiprina demokrātijas vērtības. Līdzvērtīgs kultūras piedāvājums dažādām mērķgrupām, respektējot kultūras izpausmju daudzveidību, var kalpot par sociālās kohēzijas instrumentu, tādējādi paaugstinot arī kopējo dzīves kvalitātes uztveri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NAP2027 rīcības virziena “Kultūras un sporta devums ilgtspējīgai sabiedrībai” 372. mērķis “Kultūra un sports veicina Latvijas ekonomikas un sociālo izaugsmi, veidojot radošu un ilgtspējīgu Latvijas sabiedrību” nosaka 374. apakšmērķi “Kultūras produkti veicina teritorijas attīstību, radot darba vietas un ekonomisko vērtību un uzlabojot dzīves kvalitāti. Viens no vietējās ekonomikas dzinējspēkiem ir pozitīvs vietas vai reģiona tēls, kas veidots, identificējot un novērtējot kultūras resursus. Saskaņā ar Eiropas Komisijas Eirobarometra aptauju kultūras mantojuma saglabāšana Eiropas iedzīvotājiem ir nozīmīga – vairāk nekā 80 % uzskata, ka tas ir svarīgi viņiem personīgi, vietējai sabiedrībai, reģionam un valstij kopumā. Gandrīz 3/4 eiropiešu domā, ka valsts iestādēm jāpiešķir vairāk resursu Eiropas kultūras mantojuma saglabāšanai, un liels skaits domā, ka valsts iestādēm, ES un vietējām un reģionālām iestādēm būtu jādara vairāk, lai aizsargātu Eiropas kultūras mantojumu”.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Kultūrpolitikas pamatnostādnes 2022.-2027. gadam “Kultūrvalsts” (apstiprinātas ar Ministru kabineta 2022. gada 1. marta rīkojumu Nr. 143) (turpmāk – Kultūrpolitikas pamatnostādnes) nosaka galveno kultūrpolitikas fokusu – vienlīdzīgu iespēju nodrošināšana visiem Latvijas pilsoņiem un iedzīvotājiem attiecībā uz kultūras pakalpojumu piekļūstamību un līdzdalības iespējām kultūrā, atbalstot NAP2027 izvirzītos izaugsmes virzienus – vienlīdzīgas tiesības visiem, dzīves kvalitātes pieaugums, zināšanu sabiedrības attīstība un atbildīga Latvijas izaugsme. Vienlaikus, ņemot vērā to, ka sabiedrībai pieejamu augstvērtīgu kultūras pakalpojumu un kultūras līdzdalību iespēju priekšnosacījumi ir mērķtiecīgi un ilglaicīgi ieguldījumi kultūras mantojuma saglabāšanā un kultūras un radošo industriju attīstībā, kā vienlīdz svarīgas prioritātes kultūrpolitikā 2022.-2027. gadam izvirzīta priekšnoteikumu radīšana kultūras mantojuma ilgtspējai un izmantošanai un kultūras un radošo nozaru ilgtspējīgai attīstībai, kā arī kultūrizglītības stiprināšana.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kultūrpolitiku, nodrošināma sasaiste ar Reģionālās politikas pamatnostādnēs 2021.-2027. gadam (apstiprinātas ar Ministru kabineta 2019. gada 26. novembra rīkojumu Nr. 587) un plānošanas reģionu un pašvaldību attīstības programmās noteikto. Nozīmīgs izaicinājums, īstenojot kultūrpolitiku visā Latvijas teritorijā, saistāms ar administratīvi teritoriālās reformas rezultātiem, kuru ietekmi uz kultūras piedāvājuma piekļūstamību reģionos šobrīd vēl nav iespējams novērtēt. No kultūrpolitikas viedokļa kritiski svarīgi ir pēc iespējas saglabāt un attīstīt Latvijā vēsturiski izveidojušos un līdzšinējās kultūrpolitikas mērķtiecīgas īstenošanas ietvaros attīstīto kultūras organizāciju tīklu un nodrošināt iestāžu pakalpojumu pieejamību un piekļūstamību visiem Latvijas iedzīvotājiem, attīstot gan kultūras infrastruktūru, gan pakalpojumu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Reģionālās politikas pamatnostādnes 2021.-2027. gadam akcentē dažādu pakalpojumu, tai skaitā kultūras pakalpojumu piekļūstamību reģionos, kā arī kultūras mantojuma saglabāšanu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Objektīvs šķērslis plašākam kultūras patēriņam ir attālums no cilvēka dzīvesvietas līdz kultūras pakalpojuma saņemšanas vietai. Iedzīvotājiem nozīmīgākā kultūras pakalpojumu saņemšanas vieta ir respondentu dzīves vieta (pilsēta vai pagasts). 2018. gadā veiktā Kultūras patēriņa pētījums[1] ietvaros secināts, ka motivācija apmeklēt interesējošu kultūras pasākumu sāk būtiski samazināties pie attāluma apmēram vienas stundas brauciena robežās. Tas nozīmē, ka motivācija pārvarēt attālumu uz pasākumiem, par kuriem cilvēkam nav īpašas intereses, būs vēl mazāka - un distances nozīme lielāka.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Kultūras patēriņa un līdzdalības ietekmes pētījumu[2] dati liecina, ka dažādās sabiedrības grupās kultūras patēriņa rādītāji ir atšķirīgi, ko nosaka gan auditoriju sociālekonomiskais profils, gan atšķirīgās kultūras vajadzības un kultūras patēriņa ieradumi, atklājot, ka visbiežāk kultūras pasākumus iedzīvotāji apmeklē savā pilsētā vai pagastā - to ir darījuši kopumā 80 % aptaujāto. Ārpus savas dzīvesvietas, bet savā reģionā, pasākumus ir apmeklējuši 57 % iedzīvotāju, bet citā reģionā - 40 %.  tāpat Kultūras patēriņa un līdzdalības ietekmes pētījumā secināts, ka mazaktīvi bieži ir no 55 līdz 74 gadus veci, ar zemiem ienākumiem, laukos dzīvojošie, cittautieši un tie, kas dzīvo vieni – grupas, kas kultūras piekļūstamībā tiek marginalizētas, to kultūras patēriņam samazinoties.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iedzīvotājiem augstvērtīgus un pieejamus kultūras pakalpojumus un nodrošinātu līdzdalības iespējas kultūrā, visām kultūras un radošajām nozarēm ir nepieciešams risināt strukturālus to attīstības jautājumus, bez kuriem kultūrpolitikas attīstības virzieni nevar tikt īstenoti, tai skaitā jautājumu par kultūras infrastruktūras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procesu vitalitātei un ilgtspējai ārkārtīgi nozīmīga ir iedzīvotāju iesaiste kultūras procesos, tādējādi stiprinot vietējo kopienu kultūras identitāti un saglabājot un popularizējot latviskās tradīcijas un dzīvesziņu. Kultūras ministrijas veiktie kultūras patēriņa un līdzdalības ietekmes pētījumi liecina, ka tie iedzīvotāji, kuri ir aktīvi kultūras patēriņā, ir aktīvi arī līdzdalībā (un otrādi). Līdzdalības sekmēšana ir būtiska ne tikai amatiermākslas un nemateriālā kultūras mantojuma vērtību ilgtspējas nodrošināšanai, bet arī mūsdienu kultūras izpausmju popularizācijai. Vienlaikus līdzdalība kultūrā sniedz būtisku ieguldījumu pilsoniskas un iekļaujošas sabiedrības veidošanās procesā, kam spilgts piemērs ir apkaimju kopienu aktivitātes kultūras piedāvājuma veidošanā un nevalstiskā sektora nozīmes pieaugums kultūras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Kultūrpolitikas pamatnostādnes paredz, ka kultūras patēriņa stimulēšanai nepieciešams attīstīt kultūras satura daudzveidību, veidojot mūsdienīga, kvalitatīva, atpazīstama satura piedāvājumu un īstenojot integrētas kultūras norišu programmas, piemēram, Eiropas kultūras galvaspilsētas iniciatīvas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Kultūrpolitikas reģionālie aspekti integrēti visos piecos Kultūrpolitikas pamatnostādņu rīcības virzienos, tai skaitā, paredzot stimulēt daudzveidīga kultūras piedāvājuma reģionālo piekļūstamību, paredzot sekmēt līdzdalību kultūras procesos visā Latvijas teritorijā, kā arī veicinot kultūras mantojuma saglabāšanu un izmantošanu Latvijas reģionu attīstībai. Reģionālajā kontekstā būtiska un attīstāma ir gan profesionālās mākslas piekļūstamība reģionos, gan līdzsvarota kultūras mantojuma izmantošana, gan vienlīdzīgas iespējas lietot digitālos kultūras pakalpojumus, gan vietējā kultūrvidē balstītas radošo industriju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[1]2018.gada Kultūras patēriņa pētījums. Pieejams: https://www.km.gov.lv/sites/km/files/lka20zpc_kulturas20paterins20un20lidzdaliba2020181.pdf.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LKA, SIA "Analītisko pētījumu un stratēģiju laboratorija", SIA "SKDS" (2020). Kultūras patēriņa un līdzdalības ietekmes pētījums (turpmāk - 2020.gada Kultūras patēriņa pētījums). Pieejams: https://www.km.gov.lv/lv/media/11801/download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21. oktobrī apstiprināja Partnerības līgumu Eiropas Savienības investīciju fondu 2021.-2027. gada plānošanas periodam, kas nosaka, ka politikas mērķa “Iedzīvotājiem tuvāka Eiropa, veicinot visu veidu teritoriju un vietējo iniciatīvu ilgtspējīgu un integrētu attīstību” ietvaros atbalsts plānots arī kultūras mantojuma infrastruktūras saglabāšanai un tūrisma potenciāla attīstīšanai un jaunu pakalpojumu attīstībai, veicinot kultūras resursa inovatīvu izmantošanu cilvēka dzīves kvalitātes uzlabošanai pašvaldībās un sabiedrības iesaisti kultūras un telpiskās plānošanas procesos, tai skaitā, ar Jaunā Eiropas Bauhaus nacionālā kontaktpunkta starpniecību sekmējot sabiedrības izglītošanu, izpratni un iesaisti kvalitatīvas arhitektūras, dzīves vides veidošanā un lēmumu pieņemšanā, tostarp stiprinot izpratni vietējās kopienās par kvalitatīvu dzīves vidi, kā arī stimulējot vietas piederības sajūtu un apziņu.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(turpmāk – Programma), nosakot, ka 5. politikas mērķa “Iedzīvotājiem tuvāka Eiropa, veicinot visu veidu teritoriju un vietējo iniciatīvu ilgtspējīgu un integrētu attīstību” ietvaros kultūrai ir būtiska nozīme dzīves kvalitātes uzlabošanā un attīstības veicināšanā, izmantojot teritoriāli pielāgotus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Latvija2030, NAP2027 un Kultūras pamatnostādnēs identificētos izaicinājumus, Projekts paredz Programmas 5.1. prioritātes “Reģionu līdzsvarota attīstība” 5.1.1. specifiskā atbalsta mērķa “Vietējās teritorijas integrētās sociālās, ekonomiskās un vides attīstības un kultūras mantojuma, tūrisma un drošības veicināšana” (turpmāk – 5.1.1. SAM) 5.1.1.6. pasākuma “Kultūras mantojuma saglabāšana un jaunu pakalpojumu attīstība”” (turpmāk – 5.1.1.6. pasākums) ietvaros atbalstāmas integrētas investīcijas kultūras infrastruktūrā, īpašu uzmanību pievēršot kultūras objektu darbības uzlabošanas un darbības efektivitātes palielināšanas pasākumiem, identificējot, kur ieguldījumi var sniegt plašāku ekonomisko, sociālo un teritoriālo ietekmi uz attīstāmo teritoriju. Atbalsts paredzēts tikai valsts nozīmes kultūras pieminekļu, saglabāšanai, aizsargāšanai un attīstīšanai, veicinot objektu piekļūstamību un paplašinot objekta kā ilgtspējīga resursa inovatīvu izmantošanu cilvēka dzīves kvalitātes uzlabošanā un vietējo iedzīvotāju kopienas stiprināšanā, tai skaitā, uzlabojot kultūras objektu piekļūstamību cilvēkiem ar īpašām vajadzībām, kā arī integrējot projektos inovatīvus risinājumus, kas ļauj attīstīt kultūras satura digitālo piedāvājumu, paplašinot kultūras mantojuma saturisko piedāvājumu un veicinot kultūras mantojuma kā ilgtspējīga resursa inovatīvu izmantošanu cilvēka dzīves kvalitātes uzlabošanā. Tiks nodrošināta efektīvāka kultūras mantojuma potenciāla izmantošana ekonomikas attīstībā un sociālo jautājumu risināšanā, stiprinot vietējo iedzīvotāju kopienas, radot jaunu sociālo dinamiku, nodrošinot pievilcīgu vidi vietējiem iedzīvotājiem, kā arī attīstot autentisku tūrisma galamērķa piedāvājumu tūristiem, tādējādi nodrošinot reģiona atpazīstamību, vietējās uzņēmējdarbības attīstību un veicinot pašvaldību ieņēmumu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5.1.1.6. pasākuma ietvaros plānots, balstoties uz pašvaldību attīstības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5.1.1.6. pasākuma ietvaros plānots atbilstoši integrētajās teritoriālajās stratēģijās definētajām pilsētu funkcionālajām teritorijām, nodrošinot atbilstību pašvaldību attīstības programmām. Attiecīgi ieguldījumus plānots veikt pilsētās un to funkcionālajās teritorijās, kas ir nacionālas un reģionālas nozīmes attīstības centri un to apkārtējās teritorijas, starp kurām ir ikdienas darbaspēka migrācija un kopīgs pakalpojumu tīkls.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Integrētas teritoriālas attīstības veicināšanai izvēlēts nacionālais risinājums, kas paredz turpināt pašvaldībām to attīstības programmās noteikto nozīmīgu projektu īstenošanu caur atbalstu pilsētu funkcionālajām teritorijām, kas definētas reģionu attīstības programmu ietvaros, nodrošinot konkurences elementu un efektīvāko attīstības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mērķis ir saglabāt, aizsargāt un attīstīt valsts nozīmes kultūras pieminekļus, veicinot objektu piekļūstamību un paplašinot objekta kā ilgtspējīga resursa inovatīvu izmantošanu cilvēka dzīves kvalitātes uzlabošanā un vietējo iedzīvotāju kopienas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pasākums tiks īstenots atklātas projektu iesniegumu atlases veidā, atbalstot pašvaldības attīstības programmās paredzētos 5.1.1.6. pasākuma projektus, kurus īsteno pilsētu funkcionālajās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projekta iesniedzēji ir pašvaldība, pašvaldības iestāde vai pašvaldības kapitālsabiedrība, kuras īpašumā, turējumā, lietošanā, nomā vai valdījumā atrodas kultūras mantojuma objekts, kurā plānotas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5.1.1.6. pasākuma ietvaros projekta īstenošanai var piesaistīt sadarbības partneri – pašvaldību, pašvaldības iestādi vai pašvaldības kapitālsabiedrību, kuras īpašumā, turējumā, lietošanā, nomā vai valdījumā atrodas kultūras mantojuma objekts, kurā plānotas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turējuma vai nomas tiesības attiecībā uz atbalstītajiem objektiem nemaina un ieguldījums paliek Latvijas Republikas teritorijā vismaz piecus gadus pēc noslēguma maksājuma veikšanas finansējuma saņēmējam. Īpašuma, vai turējuma vai nomas tiesības nostiprina zemesgrāmatā (izņemot gadījumu, ja pašvaldības īpašums uz normatīvā akta, līguma vai pašvaldības lēmuma pamata ir nodots pašvaldības iestādes – projekta iesniedzēja – pārvaldīšanā vai ja īpašuma tiesības uz īpašuma objektu ir spēkā bez to nostiprināšanas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apstiprināšanas projekta iesniedzējs kļūst par finansējuma saņēmēju. Finansējuma saņēmējam jānodrošina interešu konflikta neesamība saskaņā ar Eiropas Parlamenta un Padomes 2024. gada 23. septembra Regulas (ES, Euratom) 2024/2509 par finanšu noteikumiem, ko piemēro Savienības vispārējam budžetam (pārstrādāta redakcija), 61. panta prasībām.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projekta iesnieguma iesniegšanas dienā ir apstiprināta objekta darbības stratēģija, kas pamato objekta attīstības sociālekonomiskos ieguvumus un paredz objekta uzturēšanu ilgtermiņā, tai skaitā, paredzot veicināt vietējo iedzīvotāju sociālo iekļaušanu. Objekta darbības stratēģija ir apstiprināta projekta iesniedzēja – pašvaldības vai tās izveidotas iestādes vai pašvaldības kapitālsabiedrības noteiktā kārtībā. Kultūras ministrijas kā atbildīgās iestādes deleģēts vērtēšanas komisijas loceklis vai eksperts nodrošina objekta darbības stratēģijas vērtējumu atbilstoši 5.1.1.6. pasākuma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objekta darbības stratēģija izstrādāta, ņemot vērā atjaunošanas darbu koncepciju, kas sagatavota, izvērtējot iespēju piesaistīt kvalificētu arhitektu, tādējādi sekmējot vienlīdzīgu piekļuvi kultūras objektiem, veicinot kultūras objektu un norišu piekļūstamību visiem apmeklētājiem, neatkarīgi no personas dzīvesvietas, funkcionāliem traucējumiem un piederībai sociālās atstumtības riska grupām. Projekta ietvaros par kvalificētu arhitektu uzskata arhitektu, kas saņēmis valsts atzītu otrā līmeņa augstākās izglītības diplomu arhitektūrā, ieguvis kvalifikāciju un veic profesionālo darbību ar atbilstošu derīgu sertifikātu (piemēram, Latvijas Arhitektu savienības (LAS) Sertifikācijas centra izdots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plānotais un pieejamais kopējais attiecināmais finansējums ir 8 700 000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w:t>
      </w:r>
      <w:r w:rsidR="00000000" w:rsidRPr="00000000" w:rsidDel="00000000">
        <w:rPr>
          <w:rtl w:val="0"/>
        </w:rPr>
        <w:t xml:space="preserve"> un nacionālais finansējums (pašvaldības līdzfinansējums) – ne mazāk kā 1 305 000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2024. gada 31. oktobra Eiropas Savienības fondu tematiskās komitejas sēdē tika nolemts konceptuāli atbalstīt Finanšu ministrijas piedāvāto scenāriju Eiropas Savienības Kohēzijas politikas programmas 2021.-2027. gadam elastības finansējuma pārdalei, tai skaitā 5.1.1.6. pasākuma elastības finansējuma ātrāku izmantošanu, Projekts nosaka, ka projektu iesniegumu atlasei ir pieejams finansējums kopējā pasākumam plānotā finansējuma 8 700 000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Eiropas Reģionālā attīstības fonda finansējums 7 395 000 </w:t>
      </w:r>
      <w:r w:rsidR="00000000" w:rsidRPr="00000000" w:rsidDel="00000000">
        <w:rPr>
          <w:i w:val="1"/>
          <w:rtl w:val="0"/>
        </w:rPr>
        <w:t xml:space="preserve">euro </w:t>
      </w:r>
      <w:r w:rsidR="00000000" w:rsidRPr="00000000" w:rsidDel="00000000">
        <w:rPr>
          <w:rtl w:val="0"/>
        </w:rPr>
        <w:t xml:space="preserve">apmērā atbilst 166. intervences kodam “Kultūras mantojuma aizsardzība, pilnveidošana un popularizēšana un kultūras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avansa piešķiršanas nosacījumus un avansa apmēru, paredzot, ka sadarbības iestāde, ja tai ir pieejami valsts budžeta līdzekļi, izvērtējot plānotā avansa apmēru, tā pamatojumu, pamatojoties uz finansējuma saņēmēja rakstisku avansa pieprasījumu, var piešķirt finansējuma saņēmējam avansu pēc līguma vai vienošanās par projekta īstenošanu noslēgšanas.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 attīstības fonda (turpmāk – ERAF) finansējuma, ievērojot, ka avansu var izmaksāt vairākos maksājumos un avansa un starpposma maksājumu kopsumma nepārsniedz 90 procentus no projektam piešķirtā ERAF finansējuma apmēra. Šāds avansa apjoms pieļaujams, ņemot vērā nepieciešamību nodrošināt pēc iespējas ātrāku projektu īstenošanas uzsākšanu. Ir pieļaujams, ka par projekta būvniecības darbībām projekta iesnieguma iesniegšanas brīdī jau ir noslēgts būvdarbu līgums un uzsākti būvdarbi. Avansa apjoms katram projektam ir nosakāms individuāli. Nosakot projekta avansa apmēru, ņem vērā finansējuma saņēmēja spēja sešu mēnešu laikā pēc avansa maksājuma saņemšanas iesniegt sadarbības iestādē maksājuma pieprasījumu piešķirtā avansa maksājuma apmērā. Avansu var izmaksāt vairākos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veic izmaksu un ieguvumu analīzi, ievērojot, ka projekta ekonomiskā ienesīguma norma ir lielāka par sociālo diskonta likmi un projekta ekonomiskā neto pašreizējā vērtība ir lielāka par nulli, ja projekta kopējās attiecināmās izmaksas ir vismaz 1 000 000 </w:t>
      </w:r>
      <w:r w:rsidR="00000000" w:rsidRPr="00000000" w:rsidDel="00000000">
        <w:rPr>
          <w:i w:val="1"/>
          <w:rtl w:val="0"/>
        </w:rPr>
        <w:t xml:space="preserve">euro </w:t>
      </w:r>
      <w:r w:rsidR="00000000" w:rsidRPr="00000000" w:rsidDel="00000000">
        <w:rPr>
          <w:rtl w:val="0"/>
        </w:rPr>
        <w:t xml:space="preserve">un/vai projekta iesniedzējs pretendē uz komercdarbības atbalstu saskaņā ar Komisijas regulas Nr. 651/2014 53.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5.1.1.6. pasākuma ietvaros ir atbalstāmas darbības, kas sekmē 5.1.1.6. pasākuma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kultūras pieminekļu atjaunošana, konservācija, pārbūve vai restaurācija;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jaunu pakalpojumu izveide, paplašinot kultūras mantojuma saturisko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komunikācijas un vizuālās identitātes prasību nodrošināšanas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5.1.1.6. pasākuma ietvaros līdz 2029. gada 31.decembrim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atbalstīto kultūras un tūrisma objektu skaits – vismaz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atbalstīto kultūras un tūrisma vietu apmeklētāji – vismaz 12 000.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Kultūras ministrijas ierosinātie grozījumi Eiropas Savienības Kohēzijas politikas programmā 2021.-2027. gadam, kas paredz samazināt 5.1.1. specifiskā atbalsta mērķa “Vietējās teritorijas integrētās sociālās, ekonomiskās un vides attīstības un kultūras mantojuma, tūrisma un drošības veicināšana pilsētu funkcionālajās teritorijās” Kultūras ministrijā pārziņā esošo investīciju iznākuma rādītāja RCO 77 “Atbalstīto kultūras un tūrisma objektu skaits” sasniedzamo vērtību, vēl nav apstiprināti nacionālā līmenī un secīgi Eiropas Komisijā, ja netiek saņemts pozitīvs Eiropas Komisijas lēmums par  grozījumiem Eiropas Savienības Kohēzijas politikas programmā 2021.-2027. gadam, Kultūras ministrijai informēt Ministru kabinetu par priekšlikumiem atbilstošai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paredzētas attiecināmās izmaksas, kas nepieciešamas projektā plānoto darbību īstenošanai. Attiecināmajās izmaksās ir iekļaujamas projekta vadības un īstenošanas personāla izmaksas, projektu pamatojošās dokumentācijas sagatavošanas izmaksas, būvdarbu izmaksas, telpu aprīkošana un pielāgošana pakalpojumu sniegšanai, kas nepieciešama būves vai tās daļas pieņemšanai ekspluatācijā, ar kultūras mantojumu saistīto pakalpojumu izveides izmaksas, aprīkojuma iegādes un uzstādīšanas izmaksas, izmaksas, kas saistītas ar būves nodošanu ekspluatācijā, projekta informācijas un publicitātes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projektā veicinātu kultūras piedāvājuma piekļūstamību, atbalstāmas ir ekspertu izmaksas piekļūstamības jautājumu jomā (vides piekļūstamības nodrošināšanai, saskarsmes ar personām ar funkcionāliem traucējumiem nodrošināšanai, informācijas pieejamības un piekļūstamības nodrošināšanai, vieglās valodas principu izmantošanai, kultūras satura piekļūstamības risinājumu cilvēkiem ar redzes, dzirdes, kustību un garīga rakstura traucējumiem nodrošināšanai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projekta netiešās attiecināmās izmaksas plāno kā vienu izmaksu pozīciju, piemērojot netiešo izmaksu vienoto likmi 15 procentu apmērā no projekta personāla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un īstenošanas personāla izmaksu nodrošināšanai saskaņā ar regulas Nr. 2021/1060 55. panta 1. punktu tiek piemērota izmaksu vienotā likme 5 % apmērā no projekta tiešajām attiecināmajām izmaksām, bet neieskaitot tiešās attiecināmās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tas ir taisnīgs – personāla izmaksu likmes apmērs tiks piemērots vienādi visiem finansējuma saņēmējiem un vienādi visos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tas ir objektīvs – personāla izmaksu likmes apmērs nepārsniedz mēnešalgu grupu viduspunktus valsts un pašvaldību institūcijās nodarbinātajiem ierēdņiem un darbiniekiem un balstīts uz Kultūras ministrijas veiktajiem aprēķiniem, ņemot vērā indikatīvi prognozējamās projektu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tas ir pārbaudāms – personāla izmaksu likmes aprēķins ir pamatots ar Kultūras ministrijas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tas ir iepriekš noteikts – personāla izmaksu likme un piemērošanas nosacījumi ir noteikti 5.1.1.6. pasākuma MK noteikumu 34.1. apakšpunktā un pēc stāšanās spēkā piemērojami atbilstoši šajos MK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kopējo attiecināmo izmaksu apmērs (ERAF finansējums un pašvaldības līdzfinansējums) plānots no 200 001 </w:t>
      </w:r>
      <w:r w:rsidR="00000000" w:rsidRPr="00000000" w:rsidDel="00000000">
        <w:rPr>
          <w:i w:val="1"/>
          <w:rtl w:val="0"/>
        </w:rPr>
        <w:t xml:space="preserve">euro </w:t>
      </w:r>
      <w:r w:rsidR="00000000" w:rsidRPr="00000000" w:rsidDel="00000000">
        <w:rPr>
          <w:rtl w:val="0"/>
        </w:rPr>
        <w:t xml:space="preserve">līdz 2 175 000 </w:t>
      </w:r>
      <w:r w:rsidR="00000000" w:rsidRPr="00000000" w:rsidDel="00000000">
        <w:rPr>
          <w:i w:val="1"/>
          <w:rtl w:val="0"/>
        </w:rPr>
        <w:t xml:space="preserve">euro</w:t>
      </w:r>
      <w:r w:rsidR="00000000" w:rsidRPr="00000000" w:rsidDel="00000000">
        <w:rPr>
          <w:rtl w:val="0"/>
        </w:rPr>
        <w:t xml:space="preserve">, tai skaitā ERAF finansējumu no 170 001 </w:t>
      </w:r>
      <w:r w:rsidR="00000000" w:rsidRPr="00000000" w:rsidDel="00000000">
        <w:rPr>
          <w:i w:val="1"/>
          <w:rtl w:val="0"/>
        </w:rPr>
        <w:t xml:space="preserve">euro </w:t>
      </w:r>
      <w:r w:rsidR="00000000" w:rsidRPr="00000000" w:rsidDel="00000000">
        <w:rPr>
          <w:rtl w:val="0"/>
        </w:rPr>
        <w:t xml:space="preserve">līdz 1 848 750 </w:t>
      </w:r>
      <w:r w:rsidR="00000000" w:rsidRPr="00000000" w:rsidDel="00000000">
        <w:rPr>
          <w:i w:val="1"/>
          <w:rtl w:val="0"/>
        </w:rPr>
        <w:t xml:space="preserve">euro </w:t>
      </w:r>
      <w:r w:rsidR="00000000" w:rsidRPr="00000000" w:rsidDel="00000000">
        <w:rPr>
          <w:rtl w:val="0"/>
        </w:rPr>
        <w:t xml:space="preserve">(maksimālais pieejamais ERAF finansējums), tādējādi projektu vadības nodrošināšanai pieejamais finansējums būtu robežās no 9 456 </w:t>
      </w:r>
      <w:r w:rsidR="00000000" w:rsidRPr="00000000" w:rsidDel="00000000">
        <w:rPr>
          <w:i w:val="1"/>
          <w:rtl w:val="0"/>
        </w:rPr>
        <w:t xml:space="preserve">euro</w:t>
      </w:r>
      <w:r w:rsidR="00000000" w:rsidRPr="00000000" w:rsidDel="00000000">
        <w:rPr>
          <w:rtl w:val="0"/>
        </w:rPr>
        <w:t xml:space="preserve"> līdz 102 837 </w:t>
      </w:r>
      <w:r w:rsidR="00000000" w:rsidRPr="00000000" w:rsidDel="00000000">
        <w:rPr>
          <w:i w:val="1"/>
          <w:rtl w:val="0"/>
        </w:rPr>
        <w:t xml:space="preserve">euro </w:t>
      </w:r>
      <w:r w:rsidR="00000000" w:rsidRPr="00000000" w:rsidDel="00000000">
        <w:rPr>
          <w:rtl w:val="0"/>
        </w:rPr>
        <w:t xml:space="preserve">(tai skaitā atalgojums, atvaļinājuma pabalsts, veselības apdrošināšanas izmaksas, darba devēja valsts sociālās apdrošināšanas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Kvalitatīvai projektu ieviešanai būtu nepieciešama, piemēram, vecākā projekta vadītāja (39.1. III A amatu saime, 11. mēnešalgu grupa) un grāmatveža (17 III, mēnešalgu grupa 8) iesaiste, algu likmei nepārsniedzot Valsts un pašvaldību institūciju amatpersonu un darbinieku atlīdzības likumā noteikto mēnešalgu grupu skalas viduspunktu. Projektiem pieejamā finansējuma ietvaros to īstenošanas laikā (vidēji 2-3 gadi) vidēji viena projekta ietvaros projekta vadības personāla atalgojumam būtu iespējams piesaistīt finansējumu projekta vadītājam un grāmatvedim vidēji no 0,1 slodzes līdz 1,7 slodzēm. Savukārt, ievērojot nepieciešamību nodrošināt konkurētspējīgu atalgojumu pašvaldībās un motivāciju projekta īstenošanā iesaistītajam personālam, lai nodrošinātu kvalitatīvu projekta īstenošanu un pasākumā paredzēto rādītāju sasniegšanu, papildu finansējums iepriekš minētajam projekta vadības personālam, kā arī papildu personālam (piemēram, iepirkumu speciālists, projekta vadītāja asistents), nepietiekama ERAF finansējuma gadījumā būtu nodrošināms finansējuma saņēmējam sava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izmaksas, kuras projektā plāno, piemērojot vienoto izmaksu likmi, ir skaidri nodalāmas no pārējām projekta izmaksām, un nepastāv minēto izmaksu 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kultūras mantojuma atjaunošanā un kultūras infrastruktūras būvniecībā netiek piemēroti standartizēti būvniecības risinājumi, papildus radot individuālu ēku dizainu un plānojumu, tai skaitā ievērojot Jaunā Eiropas </w:t>
      </w:r>
      <w:r w:rsidR="00000000" w:rsidRPr="00000000" w:rsidDel="00000000">
        <w:rPr>
          <w:i w:val="1"/>
          <w:rtl w:val="0"/>
        </w:rPr>
        <w:t xml:space="preserve">Bauhaus</w:t>
      </w:r>
      <w:r w:rsidR="00000000" w:rsidRPr="00000000" w:rsidDel="00000000">
        <w:rPr>
          <w:rtl w:val="0"/>
        </w:rPr>
        <w:t xml:space="preserve"> principus, vienkāršoto izmaksu piemērošana pārējām plānotajām darbībām vai izmaksām 5.1.1.6. pasākuma ietvaros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tiek īstenots, ievērojot: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 Eiropas </w:t>
      </w:r>
      <w:r w:rsidR="00000000" w:rsidRPr="00000000" w:rsidDel="00000000">
        <w:rPr>
          <w:i w:val="1"/>
          <w:rtl w:val="0"/>
        </w:rPr>
        <w:t xml:space="preserve">Bauhaus</w:t>
      </w:r>
      <w:r w:rsidR="00000000" w:rsidRPr="00000000" w:rsidDel="00000000">
        <w:rPr>
          <w:rtl w:val="0"/>
        </w:rPr>
        <w:t xml:space="preserve"> principus: estētiku, ilgtspēju, iekļautību, tai skaitā iekļaujot publiskās ārtelpas attīstības risinājumus apkārtējā ainavā, nodrošinot dabā balstīto risinājumu un universālā dizaina principu ievērošanu (pieejams: https://www.cfla.gov.lv/lv/media/13806/download?attachment);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Starptautiskās kultūras pieminekļu un ievērojamu vietu padomes izstrādātos kvalitātes principus Eiropas Savienības finansētiem pārveidojumiem, kas var ietekmēt kultūras mantojumu (pieejams: EUQS_revision2020_LV.pdf (icomos.lv)).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Nr. 3.1.“Projekta darbības paredzēts īstenot, ievērojot Jaunā Eiropas “Bauhaus” principus: estētika, ilgtspēja, iekļautība, tai skaitā, nodrošinot publiskās ārtelpas attīstības risinājumu iekļaušanos apkārtējā ainavā, dabā balstīto risinājumu, universālā dizaina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Projektu, ir ņemtas vērā ar komercdarbības atbalstu saņemšanu saistītās normas. Noteikumu projekta ietvaros ir pieļaujams saderīgs komercdarbības atbalsts saskaņā ar Eiropas Komisijas 2014. gada 17. jūnija Regulas (ES) Nr. 651/2014, ar ko noteiktas atbalsta kategorijas atzīst par saderīgām ar iekšējo tirgu, piemērojot Līguma 107. un 108. pantu (turpmāk – Regula Nr. 651/2014) 53. pantu. Komercdarbības atbalsts tiek piešķirts Regulas Nr. 651/2014 53. panta 2. punktā minētajiem kultūras mērķiem un darbībām. 5.1.1.6. pasākuma ietvaros plānots ieguldījumu atbalsts, kas atbilst Regulas Nr. 651/2014 53. panta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651/2014 1. panta 4. punkta un 2. panta 18. punkta nosacījumi ir jāpiemēro uzņēmuma grupas līmenī, Regulas Nr. 651/2014 piemērošanas gadījumā finansējuma saņēmējs tiek vērtēts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2016. gada 19. jūlija Eiropas Komisijas paziņojumā par Līguma par Eiropas Savienības darbību 107. panta 1. punktā minēto valsts atbalsta jēdzienu (2016/c 262/01) (turpmāk – Paziņojums par valsts atbalsta jēdzienu) 33. un 34. punktā noteikto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 Eiropas Komisija ir norādījusi, ka atsevišķas ar kultūru, kultūrvēsturiskā mantojuma saglabāšanu un dabas aizsardzību saistītas darbības, ņemot vērā to īpašo raksturu, var būt organizētas nekomerciāli un tādējādi būt tādas, kurām nav saimnieciska rakstura, tādējādi publiskais finansējums, kas tām piešķirts, var nebūt valsts atbalsts. Eiropas Komisija uzskata, ka publiskā finansējuma piešķiršana kultūras vai kultūrvēsturiskā mantojuma saglabāšanas pasākumam, kas visai sabiedrībai pieejams bez maksas, kalpo tīri sociālam un kultūras mērķim, kam nav saimnieciska rakstura. Tāpat arī tad, ja no kultūras iestādes apmeklētājiem vai sabiedrībai pieejama kultūras, kultūrvēsturiskā mantojuma saglabāšanas vai dabas aizsardzības pasākuma dalībniekiem tiek prasīta samaksa, kas sedz tikai daļu no faktiskajām izmaksām, šim pasākumam tik un tā nav saimnieciska rakstura, jo šādu samaksu nevar uzskatīt par reālu atlīdzību par sniegto pakalpojumu. Turklāt Paziņojumā par valsts atbalsta jēdzienu 36. punktā ir noteikts, ka daudzi kultūras vai kultūrvēsturiskā mantojuma saglabāšanas pasākumi objektīvi ir neaizstājami (piemēram, valsts arhīvu, kuros atrodas unikāli dokumenti, pārvaldība), un tādējādi tiem nav reāla tirgus. Eiropas Komisija uzskata, ka arī šie pasākumi kvalificētos kā tādi, kam nav saimnieciska rakstura. Vienlaikus Eiropas Komisija ir secinājusi – kultūras vai kultūrvēsturiskā mantojuma saglabāšanas pasākumiem, kuriem nav saimnieciska rakstura, nav jāveic novērtējums par to, vai iespējamais publiskais finansējums varētu ietekmēt tirdzniecību, savukārt kultūras pasākumi un subjekti, kuri veic saimniecisku darbību, diez vai pārvilinātu lietotājus vai apmeklētājus, kuri izmanto līdzīgu piedāvājumu citās dalībvalstīs. Eiropas Komisija uzskata, ka potenciāls ietekmēt tirdzniecību starp dalībvalstīm piemīt tikai finansējumam, kuru piešķir lielām un plaši pazīstamām kādas dalībvalsts kultūras iestādēm un pasākumiem, ko plaši reklamē ārpus to vietējā reģiona.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kad netiek piemēroti Regulas Nr. 651/2014 53. panta nosacījumi jeb sniegtais atbalsts nav uzskatāms par komercdarbības atbalstu,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projektam nav saimnieciska rakstura, ja pašu ieņēmumi atbalstītajā objektā ir 50 procenti vai mazāki par 50 procentiem no kultūras jomas pakalpojumu sniedzēja gada budžeta atbalstītajā objektā projekta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pašu ieņēmumi ir lielāki par 50 procentiem no gada budžeta, tad projektam ir saimniecisks raksturs, tomēr tas nav kvalificējams kā atbalsts komercdarbībai, jo projektam nav ietekmes uz konkurenci un tirdzniecību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norādījusi, ka pastāv virkne pasākumu, kuriem ir vienīgi vietēja mēroga ietekme, un tādējādi tas neietekmē tirdzniecību starp dalībvalstīm. Minētajos gadījumos Eiropas Komisija ir norādījusi, ka saņēmējs attiecīgas preces vai pakalpojumus piedāvā ierobežotā dalībvalsts teritorijā, un diez vai piesaistītu citu dalībvalstu klientus, tāpēc nav uzskatāms, ka pasākums izraisītu būtisku ietekmi uz pārrobežu ieguldījumu vai uzņēmējdarbības apstākļiem. Arī publiskais atbalsts, kas sniegts kultūras produktiem, kuriem valodas un ģeogrāfisku iemeslu dēļ ir ierobežota, vietēja rakstura auditorija, nevar ietekmēt tirdzniecību starp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to, ka projektam, kuram ir saimniecisks raksturs, nav ietekmes uz konkurenci un tirdzniecību Eiropas Savienības iekšējā tirgū, papildus tiek piemērots kāds no šādiem izvērtēšanas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85 procenti un vairāk no visiem kultūras jomā sniegto pakalpojumu saņēmējiem atbalstītajā objektā gadā ir Latvijas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īstenotie kultūras pasākumi (koncerti, izrādes, performances u.c.) atbalstītajā objektā pārsvarā notiek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objekts netiek plaši reklamēts ārpus Latvijas teritorijas (netiek veiktas starptautiskas mārketinga aktivitātes u.c. darbības pārrobežu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kultūras jomas pakalpojuma sniedzēju uzskatāms tāds pakalpojuma sniedzējs, kas darbojas kultūras un kultūrvēsturiskā mantojuma saglabāšanas jomā, atbilstoši Paziņojumā par valsts atbalsta jēdzienu[1] 33. un 34.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ja projekta iesniedzējs pretendē uz komercdarbības atbalstu saskaņā ar Regulas Nr. 651/2014 53. pantu, jāievēro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pieļaujams veikt papildpakalpojumus, kuriem nebūtu ietekmes uz tirdzniecību un konkurenci Eiropas Savienības iekšējā tirgū. Paziņojumā par valsts atbalsta jēdzienu) ir norādīts, ka publiskais finansējums parastajiem papildpakalpojumiem (piemēram, restorāniem, veikaliem vai maksas stāvvietām),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Tāpat arī atbilstoši Komisijas skaidrojumam kafejnīcas, suvenīru veikali, kā arī stāvvietas, kuras nepieciešamas kultūras objekta apmeklētājiem, tiek ieskaitītas kultūras infrastruktūras un kultūras pakalpojumu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atbalsta kumulācijas gadījumā finansējuma saņēmējs sadarbības iestādei sniedz informāciju, vai par tām pašām attiecināmajām izmaksām ir plānots vai jau piešķirts atbalsts, norādot atbalsta piešķiršanas datumu, atbalsta sniedzēja nosaukumu, atbalsta pasākumu, plānoto vai piešķirto atbalsta summu un atbalsta intensitāti, lai varētu izvērtēt, vai netiek pārsniegtas atbalsta apvienošanas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saņēmējs ar komercdarbības atbalstu saistīta projekta dokumentāciju glabā visu projekta pārskata periodu (projekta dzīves ciklu), sākot no dienas, kad tam ir piešķirts individuālais komercdarbības atbalsts saskaņā ar šiem noteikumiem. Projekta uzraudzību jānodrošina visā projekta pārskata periodā, projektā lietotais jēdziens “projekta pārskata periods” termiņa ziņā ir pielīdzināms projekta dzīves cikla laikam atbilstoši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I pielikumā noteiktajam aktīvu amortizācijas perioda ilgumam. Projekta iesniedzējs pats nosaka un projekta iesniegumā norāda precīzu pārskata perioda ilgumu, ņemot vērā, ka saskaņā ar Regulā Nr. 480/2014 minēto, pārskata periods ir no 10-15 gadiem un tas ietver projekta īstenošanas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komercdarbības atbalstu sniedz saskaņā ar Regulas Nr. 651/2014 53. pantu un ja attiecīgajā projektā vai projekta daļā projekta pārskata periodā (projekta dzīves cikla laikā) ir radusies lielāka peļņa no pamatdarbības (neskaitot samērīgas peļņas daļu, kas atbilst tipiskai peļņai kultūras nozares attiecīgajā jomā Latvijas Republikā), nekā projektā plānots, finansējuma saņēmējs projekta pārskata perioda (projekta dzīves cikla) beigās sadarbības iestādei atmaksā starpību starp faktisko un plānoto peļņu no pamatdarbības;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Komercdarbības atbalsta kontroles likumam, atbalsta sniedzējam noteikts pienākums atgūt nelikumīgo komercdarbības atbalstu gadījumos, kad Eiropas Komisija nav pieņēmusi lēmumu par nelikumīga un nesaderīga ar Eiropas Savienības iekšējo tirgu atbalsta atgūšanu, kā arī to, ka nelikumīgs valsts atbalsts ir atgūstams, kad citas institūcijas konstatē nelikumīga atbalsta piešķiršanas gadījumus (tai skaitā,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ir pārkāptas Regulas Nr. 651/2014 prasības, vai ir konstatēts, ka ar saimniecisku raksturu nesaistīts projekts kļūst par projektu, kura ietvaros tiek sniegts komercdarbības atbalsts, un tam nav iespējams piemērot Regulas Nr. 651/2014 53. panta nosacījumus, atbalsta saņēmējam ir pienākums atmaksāt sadarbības iestādei saņemto nelikumīgo komercdarbības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atbalsta principiem ar jēdzienu “līdzekļiem, kas ir brīvi no valsts atbalsta” Projekta kontekstā saprotam tādu finansiālu ieguldījumu no projekta iesniedzēja vai sadarbības partnera līdzekļiem – saimnieciskajiem resursiem vai ārējiem finanšu resursiem, kas nesatur nekādu publisko finansiālo atbalstu. Līdzekļi, kas ir brīvi no valsts atbalsta (tai skaitā nav saņemts valsts vai pašvaldību galvojums, vai valsts aizdevums uz atvieglotiem nosacījumiem) ir iegūti saimnieciskās darbības rezultātā vai piesaistīti kā aizņēmums (ārējais finansējums) uz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iesniegumā sniegtais atbalsts ir uzskatāms par komercdarbības atbalstu, atbilstoši Projektam finansējuma saņēmējs un sadarbības partneris projekta iesniegumam pievieno apliecinājumu, kas apliecina atbilstību Komisijas regulas Nr.  651/2014 2. panta 18. punkta c)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finansējuma saņēmējs nodrošina 5.1.1.6. pasākuma ietvaros plānotā atbalsta nepārklāšanos ar citiem valsts un ārvalstu finanšu atbalsta instrumentiem un nodrošina dubultā finansējuma neiestāšanos projekta ietvaros, tātad par tām pašām darbībām netiek maksāts no dažādiem valsts un ārvalstu finanšu līdzekļiem. Informācija tiks vērtēta projekta iesnieguma vērtēšanas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nodrošina interešu konflikta neesību saskaņā ar Eiropas Parlamenta un Padomes 2024. gada 23. septembra Regulas (ES, Euratom) 2024/2509 par finanšu noteikumiem, ko piemēro Savienības vispārējam budžetam (pārstrādāta redakcija), 61. panta prasībām, kā arī ar parakstu apliecina, ka nepastāv interešu konflikts.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nosaka, ka finansējuma saņēmējs nodrošina projekta īstenošanas komunikācijas un vizuālās identitātes prasības saskaņā ar Regulas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https://eur-lex.europa.eu/legal-content/LV/TXT/?uri=uriserv:OJ.C_.2016.262.01.0001.01.LAV&amp;toc=OJ:C:2016:262:TOC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tiks saglabāti, aizsargāti un attīstīti valsts nozīmes kultūras pieminekļi, veicinot objektu piekļūstamību un paplašinot objekta kā ilgtspējīga resursa inovatīvu izmantošanu cilvēka dzīves kvalitātes uzlabošanā un vietējo iedzīvotāju kopienas stiprināšanā.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projektu iesniedzēji un iespējamie sadarbības partneri, tas ir, pašvaldības, pašvaldību iestādes vai pašvaldības kapitālsabiedrības.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vai tās izveidota iestāde vai pašvaldības kapitālsabiedrība, kuras īpašumā, turējumā, lietošanā vai valdījumā atrodas kultūras mantojuma objekts, kurā plānotas investīcijas, pildīs finansējuma saņēmēja funkcijas, un Kultūras ministrija pildīs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Projekta īstenošanas ietekmi uz administratīvajām procedūrām, ir identificējams administratīvā sloga palielinājums potenciālajiem finansējuma saņēmējiem un Eiropas Savienības fondu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Nozīmīga kultūras mantojuma saglabāšana ilgtermiņā un tā ilgtspējīga attīstība, kā arī tā apmeklētības pieaugums veicina pakalpojumu attīstību dažādās ekonomikas nozarēs attiecīgajā teritorijā, tādējādi nodrošinot vietējās uzņēmējdarbības attīstību un veicinot pašvaldību ieņēmumu pieaugumu.[1]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sniegts ieguldījums NAP2027 prioritātes “Kultūra un sports aktīvai un pilnvērtīgai dzīvei” šādu rīcības virzienu progresa rādītāju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rīcības virziena “Cilvēku līdzdalība kultūras un sporta aktivitātēs” 364. progresa rādītājs “Mājsaimniecību izdevumi kultūrai un atpūtai no mājsaimniecību kopējiem patēriņa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virziena “Kultūras un fizisko aktivitāšu pieejamība visiem, paaugstinot Latvijas sabiedrības dzīves kvalitāti” 366. progresa rādītājs “Dalībnieku skaits mākslinieciskās pašdarbības kolektīvos kultūras centros, tūkst.”;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rīcības virziena “Kultūras un sporta devums ilgtspējīgai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377. progresa rādītājs “Kultūras pasākumu apmeklējumu skaits gadā uz 100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378. progresa rādītājs “Ārvalstu vairākdienu ceļotāju Latvijā kopējie izdevumi, milj.”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https://likumi.lv/ta/id/315879-par-latvijas-nacionalo-attistibas-planu-20212027-gadam-nap2027).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Noslēguma izvērtējuma “2007.-2013. gada ES fondu plānošanas perioda Darbības programmas „Infrastruktūra un pakalpojumi” 3.4.3. pasākuma “Kultūrvides sociālekonomiskā ietekme” ietekmes un 2014.-2020. gada ES fondu plānošanas perioda (specifiskā atbalsta mērķa 5.6.1.) ieguldījumu kultūrvides attīstībā ieviešanas efektivitātes izvērtējums” 21.lpp.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ekonomiskā pamata veidošanā liela nozīme ir iedzīvotāju izglītības un kultūras līmenim, kā arī veselības aprūpes kvalitātei, kas ir vieni no galvenajiem pilsētas un arī valsts ekonomiskā potenciāla kvalitātes rādītājiem. Pilsēta, kurā ir augsti attīstīta kultūra, veselības aprūpe un plašas izglītības iespējas, ir pievilcīga dzīvošanai, un pilsētu savstarpējā sacensībā tai ir vērā ņemamas priekšrocības.[1]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attīstāmo teritoriju tautsaimnieciskās daudzveidības potenciāla izmantošanu, tieši reģionu kultūrvēsturiskās atšķirības un dažādība un pieejamā infrastruktūra ļauj piedāvāt atšķirīgu saturu un biznesa iespējas. Kultūras komponente ir būtiska vietējās attīstības veicināšanā un darbavietu, eksporta un ienākumu radīšanā, piesaistot vietējos iedzīvotājus un tūristus.[2] Reģiona kultūrvēsturiskais mantojums un tradīcijas veido tā identitāti, nodrošina atpazīstamību un liecina, ka reģions ir orientēts uz nākotni un atvērts inovācijām.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vēsturiskā centra un tā aizsardzības zonas teritorijas plānojums. Rīgas domes Pilsētas attīstības departaments, 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https://www.rdpad.lv/wp-content/uploads/2014/12/RVC_AZ_TP_Paskaidrojuma_raksts_ar_Groz.pdf;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Culture and Local Development. Pieejams: http://www.oecd.org/cfe/leed/venice-2018-conference-culture/documents/Culture-and-Local-Development-Venice.pdf;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1 848 750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1 848 750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1 848 750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1 848 750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1 848 750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1 848 750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1 848 750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1 848 750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1 848 750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5.1.1.6. pasākuma ietvaros plānotais un pieejamais kopējais attiecināmais finansējums ir 8 700 000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7 395 000 </w:t>
            </w:r>
            <w:r w:rsidR="00000000" w:rsidRPr="00000000" w:rsidDel="00000000">
              <w:rPr>
                <w:sz w:val="24"/>
                <w:i w:val="1"/>
                <w:rtl w:val="0"/>
              </w:rPr>
              <w:t xml:space="preserve">euro</w:t>
            </w:r>
            <w:r w:rsidR="00000000" w:rsidRPr="00000000" w:rsidDel="00000000">
              <w:rPr>
                <w:sz w:val="24"/>
                <w:rtl w:val="0"/>
              </w:rPr>
              <w:t xml:space="preserve"> un nacionālais finansējums (pašvaldības līdzfinansējums) – ne mazāk kā 1 305 000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projektu attiecināmajām izmaksām un nacionālā finansējuma (pašvaldības līdzfinansējuma) daļa 15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ministrijas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2 175 000 </w:t>
            </w:r>
            <w:r w:rsidR="00000000" w:rsidRPr="00000000" w:rsidDel="00000000">
              <w:rPr>
                <w:sz w:val="24"/>
                <w:i w:val="1"/>
                <w:rtl w:val="0"/>
              </w:rPr>
              <w:t xml:space="preserve">euro </w:t>
            </w:r>
            <w:r w:rsidR="00000000" w:rsidRPr="00000000" w:rsidDel="00000000">
              <w:rPr>
                <w:sz w:val="24"/>
                <w:rtl w:val="0"/>
              </w:rPr>
              <w:t xml:space="preserve">(ERAF 1 848 750 </w:t>
            </w:r>
            <w:r w:rsidR="00000000" w:rsidRPr="00000000" w:rsidDel="00000000">
              <w:rPr>
                <w:sz w:val="24"/>
                <w:i w:val="1"/>
                <w:rtl w:val="0"/>
              </w:rPr>
              <w:t xml:space="preserve">euro</w:t>
            </w:r>
            <w:r w:rsidR="00000000" w:rsidRPr="00000000" w:rsidDel="00000000">
              <w:rPr>
                <w:sz w:val="24"/>
                <w:rtl w:val="0"/>
              </w:rPr>
              <w:t xml:space="preserve">; nacionālais finansējums 326 250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2 175 000 </w:t>
            </w:r>
            <w:r w:rsidR="00000000" w:rsidRPr="00000000" w:rsidDel="00000000">
              <w:rPr>
                <w:sz w:val="24"/>
                <w:i w:val="1"/>
                <w:rtl w:val="0"/>
              </w:rPr>
              <w:t xml:space="preserve">euro </w:t>
            </w:r>
            <w:r w:rsidR="00000000" w:rsidRPr="00000000" w:rsidDel="00000000">
              <w:rPr>
                <w:sz w:val="24"/>
                <w:rtl w:val="0"/>
              </w:rPr>
              <w:t xml:space="preserve">(ERAF 1 848 750 </w:t>
            </w:r>
            <w:r w:rsidR="00000000" w:rsidRPr="00000000" w:rsidDel="00000000">
              <w:rPr>
                <w:sz w:val="24"/>
                <w:i w:val="1"/>
                <w:rtl w:val="0"/>
              </w:rPr>
              <w:t xml:space="preserve">euro</w:t>
            </w:r>
            <w:r w:rsidR="00000000" w:rsidRPr="00000000" w:rsidDel="00000000">
              <w:rPr>
                <w:sz w:val="24"/>
                <w:rtl w:val="0"/>
              </w:rPr>
              <w:t xml:space="preserve">; nacionālais finansējums 326 250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2 175 000 </w:t>
            </w:r>
            <w:r w:rsidR="00000000" w:rsidRPr="00000000" w:rsidDel="00000000">
              <w:rPr>
                <w:sz w:val="24"/>
                <w:i w:val="1"/>
                <w:rtl w:val="0"/>
              </w:rPr>
              <w:t xml:space="preserve">euro </w:t>
            </w:r>
            <w:r w:rsidR="00000000" w:rsidRPr="00000000" w:rsidDel="00000000">
              <w:rPr>
                <w:sz w:val="24"/>
                <w:rtl w:val="0"/>
              </w:rPr>
              <w:t xml:space="preserve">(ERAF 1 848 750 </w:t>
            </w:r>
            <w:r w:rsidR="00000000" w:rsidRPr="00000000" w:rsidDel="00000000">
              <w:rPr>
                <w:sz w:val="24"/>
                <w:i w:val="1"/>
                <w:rtl w:val="0"/>
              </w:rPr>
              <w:t xml:space="preserve">euro</w:t>
            </w:r>
            <w:r w:rsidR="00000000" w:rsidRPr="00000000" w:rsidDel="00000000">
              <w:rPr>
                <w:sz w:val="24"/>
                <w:rtl w:val="0"/>
              </w:rPr>
              <w:t xml:space="preserve">; nacionālais finansējums 326 250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1 087 500 </w:t>
            </w:r>
            <w:r w:rsidR="00000000" w:rsidRPr="00000000" w:rsidDel="00000000">
              <w:rPr>
                <w:sz w:val="24"/>
                <w:i w:val="1"/>
                <w:rtl w:val="0"/>
              </w:rPr>
              <w:t xml:space="preserve">euro </w:t>
            </w:r>
            <w:r w:rsidR="00000000" w:rsidRPr="00000000" w:rsidDel="00000000">
              <w:rPr>
                <w:sz w:val="24"/>
                <w:rtl w:val="0"/>
              </w:rPr>
              <w:t xml:space="preserve">(ERAF 924 375 </w:t>
            </w:r>
            <w:r w:rsidR="00000000" w:rsidRPr="00000000" w:rsidDel="00000000">
              <w:rPr>
                <w:sz w:val="24"/>
                <w:i w:val="1"/>
                <w:rtl w:val="0"/>
              </w:rPr>
              <w:t xml:space="preserve">euro</w:t>
            </w:r>
            <w:r w:rsidR="00000000" w:rsidRPr="00000000" w:rsidDel="00000000">
              <w:rPr>
                <w:sz w:val="24"/>
                <w:rtl w:val="0"/>
              </w:rPr>
              <w:t xml:space="preserve">; nacionālais finansējums 163 125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1 087 500 </w:t>
            </w:r>
            <w:r w:rsidR="00000000" w:rsidRPr="00000000" w:rsidDel="00000000">
              <w:rPr>
                <w:sz w:val="24"/>
                <w:i w:val="1"/>
                <w:rtl w:val="0"/>
              </w:rPr>
              <w:t xml:space="preserve">euro </w:t>
            </w:r>
            <w:r w:rsidR="00000000" w:rsidRPr="00000000" w:rsidDel="00000000">
              <w:rPr>
                <w:sz w:val="24"/>
                <w:rtl w:val="0"/>
              </w:rPr>
              <w:t xml:space="preserve">(ERAF 924 375 </w:t>
            </w:r>
            <w:r w:rsidR="00000000" w:rsidRPr="00000000" w:rsidDel="00000000">
              <w:rPr>
                <w:sz w:val="24"/>
                <w:i w:val="1"/>
                <w:rtl w:val="0"/>
              </w:rPr>
              <w:t xml:space="preserve">euro</w:t>
            </w:r>
            <w:r w:rsidR="00000000" w:rsidRPr="00000000" w:rsidDel="00000000">
              <w:rPr>
                <w:sz w:val="24"/>
                <w:rtl w:val="0"/>
              </w:rPr>
              <w:t xml:space="preserve">; nacionālais finansējums 163 125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Regulas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 apakšpunkts un 34.8.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 40., 41., 51., 52., un 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29. punkts un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4. punkta c), d) un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2. punkta a), b), c), d) vai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44.1. un 44.2.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4. punkts un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punkta c)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iestāde atbilstoši Regulas Nr. 651/2014 11. panta a) apakšpunktā noteiktajam 20 darba dienu laikā pēc Projekta spēkā stāšanās nosūtīs Eiropas Komisijai kopsavilkuma informāciju par valsts atbalsta programmu, izmantojot SANI 2 sistēmu atbilstoši kārtībai, kas noteikta Ministru kabineta 2014. gada 16. decembra noteikumos Nr. 759 “Kārtība, kādā Eiropas Komisijā iesniedz atbalsta programmu un individuālo atbalsta projektu paziņojumus un kopsavilkuma informāciju, un kārtība, kādā piešķir un anulē elektroniskās sistēmas lietošanas tiesības”.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Regulas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Kuldīgas novada pašvaldība, Ventspils valstspilsētas pašvaldība, Liepājas valstspilsētas pašvaldība, Jelgavas pilsētas pašvaldība, Cēsu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https://vktap.mk.gov.lv/public_participations/public_discussions/f77cdebf-4a3e-414d-acec-31fde239ce3e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netika saņemti sabiedrības komentāri vai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 martā rīkota arī konference “Informācijas piekļūstamība un vides pieejamība Kultūras ministrijas Eiropas Savienības (ES) fondu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decembra Kultūras ministrijas kā atbildīgās iestādes par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pasākumu “Kultūras mantojuma saglabāšana un jaunu pakalpojumu attīstība” organizēta diskusija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“Kultūras mantojuma saglabāšana un jaunu pakalpojumu attīstība”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izskatīts Eiropas Savienības fondu 2021.-2027. gada plānošanas perioda apakškomitejas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prioritātes “Kultūra un sports aktīvai un pilnvērtīgai dzīvei” rīcības virziena “Cilvēku līdzdalība kultūras un sporta aktivitātēs” 364. progresa rādītājs “Mājsaimniecību izdevumi kultūrai un atpūtai no mājsaimniecību kopējiem patēriņa izdevumiem”, rīcības virziena “Kultūras un fizisko aktivitāšu pieejamība visiem, paaugstinot Latvijas sabiedrības dzīves kvalitāti” 366. progresa rādītājs “Dalībnieku skaits mākslinieciskās pašdarbības kolektīvos kultūras centros, tūkst.” un rīcības virziena “Kultūras un sporta devums ilgtspējīgai sabiedrībai” 377. progresa rādītājs “Kultūras pasākumu apmeklējumu skaits gadā uz 100 iedzīvotājiem” un 378. progresa rādītājs “Ārvalstu vairākdienu ceļotāju Latvijā kopējie izdevumi, milj.”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https://likumi.lv/ta/id/315879-par-latvijas-nacionalo-attistibas-planu-20212027-gadam-nap2027).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tiek atbalstīti pašvaldības attīstības programmā paredzētie pasākuma projekti, kurus īsteno pilsētu funkcionālajās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tiks atjaunoti, konservēti, pārbūvēti vai restaurēti valsts nozīmes kultūras pieminekļi un ņemot vērā specifiskas prasības, lai nodrošinātu autentiskuma un oriģinālās substances saglabāšanu, tiks iespēju robežās izpildītas prasības, lai projekti izpildītu nepieciešamās prasības principa “Nenodarīt būtisku kaitējumu”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tiks atjaunoti, konservēti, pārbūvēti vai restaurēti kultūras pieminekļi un, ņemot vērā specifiskas prasības, lai nodrošinātu autentiskuma un oriģinālās substances saglabāšanu, tiks iespēju robežās izpildītas prasības, lai projekti izpildītu nepieciešamās horizontālā principa “Klimatdrošināšana”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kvalitātes kritēriju par horizontālā principa “Vienlīdzība, iekļaušana, nediskriminācija un pamattiesību ievērošana” ievērošanu, kura ietvaros tiek vērtēts, vai projekta iesniedzējam projektā tiek paredzētas vismaz trīs vispārīgas un vismaz viena specifiska horizontālā principa darbība, un noteikts vismaz viens horizontālā principa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projekta īstenošanā, ņemot vērā konkrēto darbību specifiku, tiks izvērtēta iespēja iekļaut darbības, kas veicinās personu ar invaliditāti vienlīdzīgas iespējas un tiesības, piemēram: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procesā personām ar invaliditāti tiks nodrošināta piekļūstamība, tostarp, pielāgota darba vieta un pielāgotas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saņēmēja tīmekļa vietnē, ja tāda ir,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laikā un pirms objekta nodošanas ekspluatācijā publiskajai infrastruktūrai tiks veikts vides un informācijas piekļūstamības pašnovērtējums, kur iegūto punktu skaits nav zemāks par 8 (LM vides un informācijas piekļūstamības pašnovērtējuma metodika pieejama šeit: https://www.lm.gov.lv/lv/vides-pieklustamibas-pasnovertejums);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būvnormatīvā LBN 200-21 noteiktajam,  projekta ietvaros tiks īstenotas labās prakses darbības, kas īpaši veicina vides piekļūstamību cilvēkiem ar funkcionāliem traucējumiem (LM vadlīnijas “Labās prakses ieteikumi vides piekļūstamības nodrošināšanai papildus LBN 200-21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kvalitātes kritēriju par horizontālā principa “Vienlīdzība, iekļaušana, nediskriminācija un pamattiesību ievērošana” ievērošanu, kura ietvaros tiek vērtēts, vai projekta iesniedzējam projektā tiek paredzētas vismaz trīs vispārīgas un vismaz viena specifiska horizontālā principa darbība, un noteikts vismaz viens horizontālā principa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projekta īstenošanā, ņemot vērā konkrēto darbību specifiku, tiks izvērtēta iespēja iekļaut darbības, kas veicinās dzimumu līdztiesību, piemēram: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komunikācijas aktivitātes, tiks izvēlēta valoda un vizuālie tēli, kas mazina diskrimināciju un stereotipu veidošanos par kādu no dzimumiem, cilvēkiem ar invaliditāti, vecumu, atšķirīgu rasi, reliģiju vai seksuālo orientāciju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pārvietošanos uz ielas - ietves tiks veidotas ar lēzenu nobraukumu/uzbraukumu, izvairoties no kāpnēm vai, ja tādas ir, tad ar pielāgojumiem, lai būtu izmantojamas, pārvietojoties ar bērnu ratiņiem. Svarīga ir arī soliņu izbūve pie ietvēm, kas ir būtiska ne tikai vecākai paaudzei, bet arī vecākiem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ielu infrastruktūru ir būtisks apgaismojums - lai būtu droši pārvietoties gan no ērtības un drošības kopumā, gan specifiski sievietēm. Piemēram, labs apgaismojums mazina riskus vardarbībai pret sievietēm, aizskaršanai/apdraudējumam. Tas būtu attiecināms arī uz vecāko paaudzi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pasākumam ir netieša ietekme uz horizontālo principu “Vienlīdzība, iekļaušana, nediskriminācija un pamattiesību ievērošana”, “Klimatdrošināšana”, “Energoefektivitāte pirmajā vietā” un “Nenodarīt būtisku kaitējumu”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ir noteikta netieša ietekme uz horizontālo principu “Vienlīdzība, iekļaušana, nediskriminācija un pamattiesību ievērošana” rādītājiem, ievērojot, ka projekta ietvaros tiek uzkrāti dati par projekta ietekmi uz rādītāja – objektu skaits, kuros ERAF ieguldījumu rezultātā ir nodrošināta vides un informācijas piekļūstamība”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kvalitātes kritēriju par horizontālā principa “Vienlīdzība, iekļaušana, nediskriminācija un pamattiesību ievērošana” ievērošanu, kura ietvaros tiek vērtēts, vai projekta iesniedzējam projektā tiek paredzētas vismaz trīs vispārīgas un vismaz viena specifiska horizontālā principa darbība, un noteikts vismaz viens horizontālā principa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tehniskajiem norādījumiem par principa “Nenodarīt būtisku kaitējumu” piemērošanu saskaņā ar Eiropas Parlamenta un Padomes Regulu (ES) 2021/241 (2021. gada 12. februāris), ar ko izveido Atveseļošanas un noturības mehānismu, Projektam nav tieša negatīva ietekme uz principu “Nenodarīt būtisku kaitējumu”, tai skaitā uz šādiem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Pielāgošanas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Aprites ekonomika, tostarp atkritumu rašanās novēršana un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to kontrole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īstenošanas rezultātā tiek paredzēta iespēja, ka atsevišķi projekti varētu sasniegt nelielu enerģijas ietaupījumu, ņemot vērā, ka investīcijas paredzētas kultūrvēsturisko ēku atjaunošanai un restaurācijai, kas ietver specifiskas prasības, lai nodrošinātu autentiskuma un oriģinālās substances saglabāšanu. Kultūrvēsturisko ēku energoefektivitātes uzlabošanas pasākumu īstenošanai nepieciešama saudzīga, profesionāla un pēctecīga pieeja, tikai ļoti retos gadījumos pieļaujot kultūrvēsturiski un arhitektoniski vērtīgu ēku fasāžu siltināšanu.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plānotās darbības neizraisīs negatīvu ietekmi un būtisku siltumnīcefekta gāzu emisiju pieaugumu uz pašreizējā klimata un gaidāmā nākotnes klimata radītajām negatīvajām ietekmēm uz pašu pasākumu, cilvēkiem, dabu vai aktīviem (tai skaitā infrastruktūru), kā arī neradīs negatīvu ietekmi uz pielāgošanās klimata pārmaiņām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2018. gada 30. maija Direktīvā 2018/851/ES, ar ko groza Direktīvu 2008/98 par atkritumiem noteiktos mērķus, projektu iesniedzējiem kopā ar projekta iesniegumu nepieciešams iesniegt apliecinājumus par to, ka tiks ievērotas Ministru kabineta 2021. gada 26. oktobra noteikumos Nr. 712 “Atkritumu dalītas savākšanas, sagatavošanas atkārtotai izmantošanai, pārstrādes un materiālu reģenerācijas noteikumi” 6. punktā un Ministru kabineta 2017. gada 20. jūnija noteikumu Nr. 353 “Prasības zaļajam publiskajam iepirkumam un to piemērošanas kārtība” 2. pielikumā noteiktās prasības, tostarp, ka nebīstamos būvgružus un ēku nojaukšanas atkritumus, kas būvlaukumā radušies būvniecības laikā, saskaņā ar atkritumu apsaimniekošanas hierarhiju atkārtoti izmanto būvniecības objektā uz vietas (tostarp aizbēršanas darbībām, kurās atkritumus izmanto citu materiālu aizstāšanai) vai tos nodos sagatavošanai atkārtotai izmantošanai, pārstrādei vai reģenerācijai uzņēmumiem, kas saņēmuši atbilstošas piesārņojošās darbības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tiek plānots nojaukt ēkas vai to daļas, kurās ir azbestu saturoši materiāli, azbestu saturošie izstrādājumi tiks apstrādāti un transportēti atbilstoši normatīvajiem aktiem par darba aizsardzības prasībām darbā ar azbestu, tajā skaitā nepieļaujot azbesta šķiedru vai putekļu nokļūšanu vidē. Prasība ir pārņemta nacionālajos normatīvajos aktos, uzraudzību saskaņā Ministru kabineta 2011. gada 26. aprīļa noteikumos Nr. 301 “Noteikumi par azbesta un azbesta izstrādājumu ražošanas radīto vides piesārņojumu un azbesta atkritumu apsaimniekošanu” un saskaņā ar Ministru kabineta 2004. gada 12. oktobra noteikumos Nr. 852 “Darba aizsardzības prasības darbā ar azbestu” noteikto veic Valsts vides dienests un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pasākuma ietvaros  projekti un to ietvaros plānotās darbības veicinās Eiropas Savienības stratēģijā Baltijas jūras reģionam (ESSBJR) noteikto mērķu “Kultūra” sasniegšanu, nodrošinot  Baltijas jūras reģiona kultūras mantojuma saglabāšanu un reģionālās identitātes stiprināšanu.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24-TA-816</w:t>
    </w:r>
    <w:r>
      <w:br/>
    </w:r>
    <w:r w:rsidR="00000000" w:rsidRPr="00000000" w:rsidDel="00000000">
      <w:rPr>
        <w:rtl w:val="0"/>
      </w:rPr>
      <w:t xml:space="preserve">Izdrukāts 29.07.2026. 21.08 - 6.0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24-TA-816</w:t>
    </w:r>
    <w:r>
      <w:br/>
    </w:r>
    <w:r w:rsidR="00000000" w:rsidRPr="00000000" w:rsidDel="00000000">
      <w:rPr>
        <w:rtl w:val="0"/>
      </w:rPr>
      <w:t xml:space="preserve">Izdrukāts 29.07.2026. 21.08 - 6.0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anotācija_(ex_ante)_24-TA-816.docx</dc:title>
</cp:coreProperties>
</file>

<file path=docProps/custom.xml><?xml version="1.0" encoding="utf-8"?>
<Properties xmlns="http://schemas.openxmlformats.org/officeDocument/2006/custom-properties" xmlns:vt="http://schemas.openxmlformats.org/officeDocument/2006/docPropsVTypes"/>
</file>