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9. janvāra noteikumos Nr. 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9. janvāra noteikumos Nr. 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 (turpmāk - MK noteikumi) izstrādāti, lai nodrošinātu pārizdotās </w:t>
      </w:r>
      <w:r w:rsidR="00000000" w:rsidRPr="00000000" w:rsidDel="00000000">
        <w:rPr>
          <w:i w:val="1"/>
          <w:rtl w:val="0"/>
        </w:rPr>
        <w:t xml:space="preserve">de minimis</w:t>
      </w:r>
      <w:r w:rsidR="00000000" w:rsidRPr="00000000" w:rsidDel="00000000">
        <w:rPr>
          <w:rtl w:val="0"/>
        </w:rPr>
        <w:t xml:space="preserve"> regulas ieviešanu, aktualizējot atsauces un tajās norādot spēkā esošo Eiropas Savienības tiesību aktu.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mērķis ir pārņemt pārizdotās </w:t>
      </w:r>
      <w:r w:rsidR="00000000" w:rsidRPr="00000000" w:rsidDel="00000000">
        <w:rPr>
          <w:i w:val="1"/>
          <w:rtl w:val="0"/>
        </w:rPr>
        <w:t xml:space="preserve">de minimis</w:t>
      </w:r>
      <w:r w:rsidR="00000000" w:rsidRPr="00000000" w:rsidDel="00000000">
        <w:rPr>
          <w:rtl w:val="0"/>
        </w:rPr>
        <w:t xml:space="preserve"> regulas nosacījumus, kas nodrošinās atbilstošu atbalsta sniegšanu finansējuma saņēmējam.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ar 2023.gada 31.decembri izbeidz savu darbību un ar 2024.gada 1.janvāri stājas spēkā Komisijas 2023. gada 13. decembra Regula (ES) Nr. 2023/2831 par Līguma par Eiropas Savienības darbību 107. un 108. panta piemērošanu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atbalstam (Eiropas Savienības Oficiālais Vēstnesis, 2023. gada 13. decembris, Nr. L 2023/2831)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9. janvāra sēdē apstiprināja Ministru kabineta noteikumus Nr.32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 (turpmāk - Noteikumi Nr. 32), kuros komercdarbības atbalstu finansējuma saņēmējam sniedz atbilstoši Komisijas Regulas Nr. 1407/2013 nosacījumiem. Ar 2024.gada 1.janvāri spēkā stājās jaunā </w:t>
      </w:r>
      <w:r w:rsidR="00000000" w:rsidRPr="00000000" w:rsidDel="00000000">
        <w:rPr>
          <w:i w:val="1"/>
          <w:rtl w:val="0"/>
        </w:rPr>
        <w:t xml:space="preserve">de minimis</w:t>
      </w:r>
      <w:r w:rsidR="00000000" w:rsidRPr="00000000" w:rsidDel="00000000">
        <w:rPr>
          <w:rtl w:val="0"/>
        </w:rPr>
        <w:t xml:space="preserve"> atbalsta piešķiršanas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29.6., 41.2., 45., 48.1., 49.2., 119., 121.1. 129., 131. un 134. punktus un 3. pielikumu, grozot MK noteikumos atsauci uz Komisijas Regulu Nr. 2023/2831,  ņemot vērā, ka  Komisijas Regula Nr. 1407/2013 ar 2023. gada 31. decembri zaudē spēku un ar 2024. gada 1. janvāri stājas spēkā Komisijas Regula Nr. 2023/2831. Pēc būtības atbalsta programmas ietvaros </w:t>
      </w:r>
      <w:r w:rsidR="00000000" w:rsidRPr="00000000" w:rsidDel="00000000">
        <w:rPr>
          <w:i w:val="1"/>
          <w:rtl w:val="0"/>
        </w:rPr>
        <w:t xml:space="preserve">de minimis</w:t>
      </w:r>
      <w:r w:rsidR="00000000" w:rsidRPr="00000000" w:rsidDel="00000000">
        <w:rPr>
          <w:rtl w:val="0"/>
        </w:rPr>
        <w:t xml:space="preserve"> atbalsta piešķiršanas nosacījumi nemainās. Komisijas Regulā Nr.2023/2831, salīdzinot to ar Komisijas Regulu Nr.1407/2013, ir šādas atšķirības - robežlielums </w:t>
      </w:r>
      <w:r w:rsidR="00000000" w:rsidRPr="00000000" w:rsidDel="00000000">
        <w:rPr>
          <w:i w:val="1"/>
          <w:rtl w:val="0"/>
        </w:rPr>
        <w:t xml:space="preserve">de minimis</w:t>
      </w:r>
      <w:r w:rsidR="00000000" w:rsidRPr="00000000" w:rsidDel="00000000">
        <w:rPr>
          <w:rtl w:val="0"/>
        </w:rPr>
        <w:t xml:space="preserve"> atbalstam, kuru viens vienots uzņēmums jebkurā triju gadu periodā var saņemt vienā dalībvalstī, ir palielināts no 200 000 EUR līdz 300 000 EUR, trīs gadu laikposms noteikts kā slīdošs periods, tas ir, turpmāk </w:t>
      </w:r>
      <w:r w:rsidR="00000000" w:rsidRPr="00000000" w:rsidDel="00000000">
        <w:rPr>
          <w:i w:val="1"/>
          <w:rtl w:val="0"/>
        </w:rPr>
        <w:t xml:space="preserve">de minimis</w:t>
      </w:r>
      <w:r w:rsidR="00000000" w:rsidRPr="00000000" w:rsidDel="00000000">
        <w:rPr>
          <w:rtl w:val="0"/>
        </w:rPr>
        <w:t xml:space="preserve"> atbalsta kopsumma, ko viena dalībvalsts piešķir vienam vienotam uzņēmumam, nevienā trīs gadu periodā no tā piešķiršanas brīža nedrīkst pārsniegt noteikto robežlielumu.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32.1., 32.3., 32.4., 32.5., 32.6., 32.7., 32.8. un 32.9. apakšpunktus atbilstoši Eiropas Komisijas 2023. gada 21. decembra, 2024.gada 13.marta un 2024.gada 15.marta norādījumiem. MK noteikumos norādītās prasības noteiktas saskaņā ar Atveseļošanas fonda 1. pielikuma principa “nenodarīt būtisku kaitējumu” novērtējumu un tā ievērošanu saskaņā ar Eiropas Komisijas paziņojumu “Tehniskie norādījumi par principa “nenodarīt būtisku kaitējumu” piemērošanu saskaņā ar Atveseļošanas un noturības mehānisma regulu” (Eiropas Savienības Oficiālais Vēstnesis, 2021. gada 18. februāris, Nr. C 58/1) (turpmāk - Eiropas Komisijas paziņojums Nr. 2021/C58/01) piemērošanu saskaņā ar Komisijas Regulā Nr. 2021/241 noteikto. MK noteikumos veikti labojumi atbilstošai principa "nenodari būtisku kaitējumu" piemērošanai, Atveseļošanas fonda finansējumu nepiešķirot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saistītas ar fosilo kurināmo, līdzšinēji noteiktos ierobežojumus elektroenerģijas vai siltuma ražošanā nosakot kā izņēmumus, atbilstoši Eiropas Komisijas paziņojuma Nr. 2021/C58/01 III pielikuma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saistītas ar atkritumu poligoniem, atkritumu sadedzināšanas iekārtām un mehāniski bioloģiskās apstrādes iekārtām, nosakot izņēmumus darbībām, kas paredzētas iekārtām, lai palielinātu energoefektivitāti un citus ar darbībām saistītos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kur ilgstoša atkritumu apglabāšana var radīt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labam ūdensobjektu stāvoklim vai labam to ekoloģiskajam potenciālam;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aprites ekonomikai;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vides piesārņojuma novēršanai un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kas kaitē bioloģiskās daudzveidības un ekosistēmu aizsardzībai un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darbībām Eiropas Savienības emisijas kvotu tirdzniecības sistēmas ietvaros, nosakot, ka tiek skatītas konkrēti iepriekšminētās sistēmas ietvaros siltumnīcefekta gāzu emisiju līmeņatzīmes.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32.2. apakšpunkts nav saistīts ar Padomes īstenošanas lēmumu (CID) par Atveseļošanas fonda plāna apstiprināšanu, tad, atbilstoši Eiropas Komisijas 2024.gada 13.marta norādījumiem, 32.2. apakšpunkts tiek dzēsts.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Iepriekšminēto darbību precizēšana MK noteikumos nodrošina atbilstošas informācijas iekļaušanu principa "nenodari būtisku kaitējumu"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60.3. apakšpunktu, dzēšot vārdus "kas atgūstams no valsts budžeta priekšnodokļa veidā", nodrošinot atbilstošu tiesību normu piemērošanu attiecībā uz pievienotās vērtības nodokli. Atbilstoši Finanšu ministrijas 2023. gada 13. februāra "Vadlīnijas informatīvā ziņojuma vai Ministru kabineta noteikumu izstrādei par Eiropas Savienības Atveseļošanas un noturības mehānisma plāna reformas vai investīcijas ieviešanu" (turpmāk - Vadlīnijas) 22. punktam pievienotās vērtības nodokļa izmaksas nav attiecināmas finansēšanai no Atveseļošanas fonda finansējuma. Papildus Vadlīniju 23. punkts nosaka, ka pievienotās vērtības nodokļa izmaksas projekta ietvaros finansējuma saņēmējs un sadarbības partneris 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3.pielikumu, lietojot korektu atsauci uz pārizdoto </w:t>
      </w:r>
      <w:r w:rsidR="00000000" w:rsidRPr="00000000" w:rsidDel="00000000">
        <w:rPr>
          <w:i w:val="1"/>
          <w:rtl w:val="0"/>
        </w:rPr>
        <w:t xml:space="preserve">de minimis</w:t>
      </w:r>
      <w:r w:rsidR="00000000" w:rsidRPr="00000000" w:rsidDel="00000000">
        <w:rPr>
          <w:rtl w:val="0"/>
        </w:rPr>
        <w:t xml:space="preserve"> regulu - Komisijas Regula Nr. 2023/2831. Dzēst vispārīgo atbilstības kritēriju 2.1.7., ņemot vērā, ka attiecīgais kritērijs neietekmē projektu iesniegumu atlasi vai atbalsta intensitāti. Precizēt kvalitātes kritēriju 3.5.1., nosakot to kā palidināmu kritēriju, ņemot vērā, ka Noteikumu Nr.32 mērķis nav izstrādāt tehnoloģijas, kas nodrošina dabas resursu efektīvu un lietderīgu izmantošanu tīrāka ražošanas procesa ieviešanā. Precizēt 4.pielikumu, nodrošinot Noteikumiem Nr.32 atbilstošu terminu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Nr.32 minētais Centrālās finanšu un līgumu aģentūras (turpmāk - aģentūra) lēmums par finansējuma saņēmēja apstiprināšanu ir lēmums, kas paredz publiskā finansējuma sadali, uz aģentūras attiecīgajiem nodarbinātajiem attiecināms valsts amatpersonas statuss. Turklāt, finansējuma saņēmēja izveidotā pētniecības projektu vērtēšanas komisija veic sadarbības partneru izvērtējumu un finansējuma saņēmēja pārstāvis sagrupē un virza pētniecības projektu sarakstu aģentūrai, kas pieņem lēmumu par komercdarbības atbalsta piešķiršanu sadarbības partnerim. Par atbalsta piešķiršanas dienu uzskatāma diena, kad aģentūra ir pieņēmusi lēmumu par komercdarbības atbalsta piešķiršanu finansējuma saņēmējam un diena, kad aģentūra pieņēmusi lēmumu par komercdarbības atbalsta piešķiršanu sadarbības partnerim. Lēmuma pieņemšanas brīdis ir aģentūras un finansējuma saņēmēja līguma slēgšanas 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procedūru tehniska neatbilstība neietekmēs projektu iesniegumu vērtēšanu pēc būtības, tai skaitā projektu iesniegumu atlasi, tādēļ projektu iesniegumu atlases termiņa pagarināšana nav nepieciešama. Līdz līguma par projekta īstenošanu noslēgšanai projekta iesniedzējam būs nepieciešams iesniegt precizētu ar projekta iesniegumu saistīto dokumentāciju.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notiks no š.g. 6. februāra līdz š.g. 19. martam. Lai nodrošinātu informācijas pieejamību un vienādus nosacījumus visiem projekta iesniedzējiem pēc MK noteikumu apstiprināšanas Ekonomikas ministrija atkārtoti informēs projekta iesniedzējus par grozījumiem. Turklāt jāņem vērā, ka MK noteikumi paredz papildus atbalsta iespējas par labu projekta iesniedzējiem, t.i., atbilstoši Komisijas Regulai Nr. 2023/2831 būs pieejams lielāks </w:t>
      </w:r>
      <w:r w:rsidR="00000000" w:rsidRPr="00000000" w:rsidDel="00000000">
        <w:rPr>
          <w:i w:val="1"/>
          <w:rtl w:val="0"/>
        </w:rPr>
        <w:t xml:space="preserve">de minimis</w:t>
      </w:r>
      <w:r w:rsidR="00000000" w:rsidRPr="00000000" w:rsidDel="00000000">
        <w:rPr>
          <w:rtl w:val="0"/>
        </w:rPr>
        <w:t xml:space="preserve"> atbalsta apmērs, kas sekmēs pilnvērtīgu projekta ieviešanu. Vienlaikus, </w:t>
      </w:r>
      <w:r w:rsidR="00000000" w:rsidRPr="00000000" w:rsidDel="00000000">
        <w:rPr>
          <w:i w:val="1"/>
          <w:rtl w:val="0"/>
        </w:rPr>
        <w:t xml:space="preserve">de minimis</w:t>
      </w:r>
      <w:r w:rsidR="00000000" w:rsidRPr="00000000" w:rsidDel="00000000">
        <w:rPr>
          <w:rtl w:val="0"/>
        </w:rPr>
        <w:t xml:space="preserve"> atbalsta apmēra palielinājums neietekmēs Noteikumu Nr. 32 ietvaros noteikto mērķu un uzraudzības rādītāju sasniegšanu, ņemot vērā, ka atbalsts pētniecības projektu īstenošanai tiek piešķirs atbilstoši Komisijas 2014. gada 17. jūnija Regulai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(komersants vai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ietvaros </w:t>
      </w:r>
      <w:r w:rsidR="00000000" w:rsidRPr="00000000" w:rsidDel="00000000">
        <w:rPr>
          <w:i w:val="1"/>
          <w:rtl w:val="0"/>
        </w:rPr>
        <w:t xml:space="preserve">de minimis</w:t>
      </w:r>
      <w:r w:rsidR="00000000" w:rsidRPr="00000000" w:rsidDel="00000000">
        <w:rPr>
          <w:rtl w:val="0"/>
        </w:rPr>
        <w:t xml:space="preserve"> atbalsta kopsumma finansējuma saņēmējam ir palielinājusies līdz 300 000 EUR, kas radīs ietekmi finansējuma saņēmējiem, nodrošinot iespēju saņemt atbalstu. Atbalstu varēs saņemt arī tie komersanti, kas iepriekš kvalificējās zem Komisijas Regulas Nr. 1407/2013 (atbalsta kopsumma 200 000 EUR), nepārsniedzot trīs gadu periodā 300 000 EUR.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Tiesību aktu portālā 02.02.2024-16.02.2024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24-TA-131</w:t>
    </w:r>
    <w:r>
      <w:br/>
    </w:r>
    <w:r w:rsidR="00000000" w:rsidRPr="00000000" w:rsidDel="00000000">
      <w:rPr>
        <w:rtl w:val="0"/>
      </w:rPr>
      <w:t xml:space="preserve">Izdrukāts 29.07.2026. 21.55 - 4.0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24-TA-131</w:t>
    </w:r>
    <w:r>
      <w:br/>
    </w:r>
    <w:r w:rsidR="00000000" w:rsidRPr="00000000" w:rsidDel="00000000">
      <w:rPr>
        <w:rtl w:val="0"/>
      </w:rPr>
      <w:t xml:space="preserve">Izdrukāts 29.07.2026. 21.55 - 4.0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anotācija_(ex_ante)_24-TA-131.docx</dc:title>
</cp:coreProperties>
</file>

<file path=docProps/custom.xml><?xml version="1.0" encoding="utf-8"?>
<Properties xmlns="http://schemas.openxmlformats.org/officeDocument/2006/custom-properties" xmlns:vt="http://schemas.openxmlformats.org/officeDocument/2006/docPropsVTypes"/>
</file>