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22. oktobra noteikumos Nr. 663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2024. gada 22. oktobra noteikumos Nr. 663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 (turpmāk - MK noteikumu projekts) izstrādāts, lai precizētu atbalsta programmas mērķi, atbalsta saņemšanas nosacījumus, attiecināmo izmaksu tvērumu un projektu iesniegumu vērtēšanā iesaistītos sadarbības partnerus.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precizēt atbalsta programmas nosacījumus, tai skaitā tās mērķi, attiecināmās izmaksas un projektu iesniegumu vērtēšanā iesaistītos sadarbības partnerus, lai nodrošinātu pilnvērtīgu pasākuma ieviešanu.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22. oktobra noteikumu Nr.663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 (turpmāk - Noteikumi Nr.663) mērķis ir finansējuma pieejamības nodrošināšana uzņēmumu duāla pielietojuma jaunu produktu un tehnoloģiju izstrādei aizsardzības un drošības jomā, piesaistot Eiropas Reģionālās attīstības fonda finansējumu un privāto līdzfinansējumu. Atbalsta programma paredz sniegt sīkiem (mikro), maziem, vidējiem un lieliem komersantiem, mazām vidējām un vidējām kapitalizācijas sabiedrībām atbalstu līdz 1 000 000 </w:t>
      </w:r>
      <w:r w:rsidR="00000000" w:rsidRPr="00000000" w:rsidDel="00000000">
        <w:rPr>
          <w:i w:val="1"/>
          <w:rtl w:val="0"/>
        </w:rPr>
        <w:t xml:space="preserve">euro </w:t>
      </w:r>
      <w:r w:rsidR="00000000" w:rsidRPr="00000000" w:rsidDel="00000000">
        <w:rPr>
          <w:rtl w:val="0"/>
        </w:rPr>
        <w:t xml:space="preserve">pētniecības aktivitātēm, t.sk. rūpnieciskiem pētījumiem, eksperimentālām izstrādnēm un tehniski ekonomiskai priekšizpētei. Š.g. aprīlī ir noslēgusies pirmā projektu iesniegumu atlase, kur tika saņemti 32 projektu iesniegumi un palicis nesadalīts finansējums 12 831 561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Nr.663 mērķis ir finansējuma pieejamības nodrošināšana uzņēmumu duāla pielietojuma jaunu produktu un tehnoloģiju izstrādei aizsardzības un drošības jomā, piesaistot Eiropas Reģionālās attīstības fonda finansējumu un privāto līdzfinansējumu. Ņemot vērā, ka pirmajā projektu iesniegumu atlasē netika iesniegti projektu iesniegumi par visu pieejamo finansējumu, nepieciešams paplašināt atbalsta programmas mērķi un potenciālo atbalsta saņēmēju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nozares asociāciju priekšlikumiem un sadarbības iestādes sniegtās informācijas, Noteikumu Nr.663 14.3. apakšpunktā noteiktās prasības ir bijušas ierobežojošas atbalsta saņemšanai un mazinājušas potenciālo atbalsta saņēmēju loku. Līdz ar to, nepieciešams pārskatīt projektu iesniedzējiem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atlasē, kas noslēdzās š.g. aprīlī, netika saņemti projekta iesniegumi par visu pieejamo finansējumu. Līdz ar to, Noteikumos Nr.663 nepieciešams definēt nosacījumus jaunas projektu iesniegumu atlases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Noteikumi Nr.663 paredzēja atbalstu tikai divējāda lietojuma jaunu produktu vai tehnoloģiju izstrādei. Ar MK noteikumu projektu tiek paplašināts atbalsta saņēmēju loks, kur atbalsts būs pieejams arī jaunu vai būtiski uzlabotu produktu izstrādei, t.sk. divējāda lietojuma. Ņemot vērā minēto, nepieciešams definēt Latvijas Zinātnes padomes, kā kompetentās iestādes jaunu vai būtiski uzlabotu produktu vērtēšanā, iesaisti projektu iesniegumu vērtēšanas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nozares asociāciju priekšlikumiem, tika konstatēts, ka attiecināmo izmaksu tvērums nav pietiekams efektīvai projekta īstenošanai. Līdz ar to, nepieciešams papildināt attiecināmo izmaksu tvērumu, nosakot, ka attiecināmas ir izmaksas, kas saistītas ar intelektuālā īpašuma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atbildīgās iestādes ierosinājuma un nozares asociāciju priekšlikumiem </w:t>
      </w:r>
      <w:r w:rsidR="00000000" w:rsidRPr="00000000" w:rsidDel="00000000">
        <w:rPr>
          <w:b w:val="1"/>
          <w:rtl w:val="0"/>
        </w:rPr>
        <w:t xml:space="preserve">MK noteikumu projekts paredz</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precizēt atbalsta programmas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atbalsta pieejamību plašākam potenciālo atbalsta saņēmēju lokam un Eiropas Savienības kohēzijas politikas programmā 2021.–2027.gadam noteikto rādītāju izpildi, tiek precizēts atbalsta programmas mērķis, nosakot, ka atbalsta programmas mērķis ir finansējuma pieejamības nodrošināšana uzņēmumu jaunu, t.sk. divējāda lietojuma, produktu un tehnoloģiju izstrādei, piesaistot Eiropas Reģionālās attīstības fonda finansējumu un privāto līdzfinansējumu. Minētie precizējumi neierobežo divējāda lietojuma jaunu produktu vai tehnoloģiju izstrādi. Minētajiem projektiem projektu iesniegumu vērtēšanā tiek piemēroti papildus punkti par projekta divējāda lietojuma esamību, kas nodrošina priekšrocības projektu iesniegumu ranžēšanā.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precizēt projektu iesniegumu vērtēšanā iesaistītos sadarbības partnerus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Noteikumu Nr.663 ietvaros atbalsts tika sniegts tikai divējāda lietojuma jaunu produktu vai tehnoloģiju. Minēto projektu vērtēšanā tiek iesaistīta Aizsardzības ministrija kā kompetentā iestāde divējāda lietojuma jaunu vai būtiski uzlabotu produktu vērtēšanā. Ņemot vēra, ka ar MK noteikumu projektu tiek paredzēts atbalsts arī jaunu vai būtiski uzlabotu produktu vai tehnoloģiju izstrādei, bez divējāda lietojuma, projektu vērtēšanā tiek piesaistīti arī Latvijas Zinātnes padomes eksperti, kas nodrošinās projekta inovācijas, aktualitātes un zinātniskās komponentes vērtēšanu. Tiek veikti precizējumi Noteikumu Nr.663 18.2. apakšpunktā, nosakot, ka Aizsardzības ministrija nodrošina projektu iesniegumu inovācijas, aktualitātes un pielietojamības aizsardzības jomā un zinātniskā aspekta vērtēšanu, ja projekta iesniegums paredz divējāda lietojuma jauna produkta vai tehnoloģijas izstrādi. Vienlaikus, Noteikumi Nr.663 tiek papildināti ar 18.</w:t>
      </w:r>
      <w:r w:rsidR="00000000" w:rsidRPr="00000000" w:rsidDel="00000000">
        <w:rPr>
          <w:vertAlign w:val="superscript"/>
          <w:rtl w:val="0"/>
        </w:rPr>
        <w:t xml:space="preserve">1 </w:t>
      </w:r>
      <w:r w:rsidR="00000000" w:rsidRPr="00000000" w:rsidDel="00000000">
        <w:rPr>
          <w:rtl w:val="0"/>
        </w:rPr>
        <w:t xml:space="preserve">punktu, nosakot, ka Latvijas Zinātnes padome piesaista ekspertus projekta inovācijas, aktualitātes un zinātniskās komponentes vērtēšanai (ja projekta iesniegums paredz jauna produkta vai tehnoloģijas izstrādi), kas sniedz vērtējumu atzinuma formā. Tāpat tiek definētas prasības piesaistītajam ekspertam - tam pēdējo 10 gadu laikā ir pieredze projektu vērtēšanā Eiropas Savienības inovāciju atbalsta programmās vai citās inovāciju atbalsta programmās, kur viena projekta kopējā summa bijusi vismaz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precizēt prasības projekta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atbalsta pieejamību un atvieglotu prasības jaunu vai būtiski uzlabotu produktu izstrādei, tiek precizēts Noteikumu Nr.663 14.3. apakšpunkts un 15. punkts. Ar MK noteikumu projektu tiek noteikts, ka projekta iesniedzējam jānodrošina apgrozījuma apmērs vismaz 30% apmērā no plānotā publiskā finansējuma apmēra vai tam ir noslēgts līgums ar Nacionālajiem bruņotajiem spēkiem un tā apjoms ir vismaz 30% apmērā no plānotā publiskā finansējuma apmēra. Savukārt jauniem komersantiem, šo noteikumu izpratnē, apgrozījuma apjoms vai līguma ar Nacionālajiem bruņotajiem spēkiem tiek pārbaudīts projekta īstenošanai nepieciešamā privātā līdzfinansējuma apmērā. Augstāku punktu skaitu saņem tie projekta iesniedzēji, kam salīdzinājuma pret pieprasītā publiskā finansējuma apjomu būs lielāks apgrozījuma apjoms vai līguma ar Nacionālajiem bruņotajiem spēkiem apjoms. Minētie precizējumi sekmēs vienlīdzīgu pieeju visiem projektu iesniedzējiem un sniegs iespēju jauniem komersantiem iesaistīties atbalsta programmā neuzliekot papildus nosacījumus attiecībā uz finanšu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projektu tiek precizētas prasības (Noteikumu Nr. 14.4. apakšpunkts) attiecībā uz projekta iesniedzēja Valsts ieņēmumu dienesta administrēto nodokļu (nodevu) parādu un tā vērtēšanu. Ja projekta iesniedzējam vai sadarbības partnerim, uz projekta iesniegšanas vai (ja attiecināms) precizētā projekta iesnieguma iesniegšanas dienu nodokļu maksātāja reitings ir “A”, attiecīgi nodokļu parāda esamības vai neesamības pārbaude netiek veikta. Ja projekta iesniedzējam vai sadarbības partnerim, uz projekta iesniegšanas vai (ja attiecināms) precizētā projekta iesnieguma iesniegšanas dienu nodokļu maksātāja reitings ir “B”, “J”, “C”, “N” vai nodokļu maksātāja reitings netiek veidots, piemēram, publiskai personai, publiskai atvasinātai personai u.c., veic nodokļu parāda esamības vai neesamības pārbaudi gan uz projekta iesniegšanas dienu, gan uz precizētā projekta iesnieguma iesniegšanas dienu. Prasības par nodokļu (nodevu) parāda virs 150 </w:t>
      </w:r>
      <w:r w:rsidR="00000000" w:rsidRPr="00000000" w:rsidDel="00000000">
        <w:rPr>
          <w:i w:val="1"/>
          <w:rtl w:val="0"/>
        </w:rPr>
        <w:t xml:space="preserve">euro </w:t>
      </w:r>
      <w:r w:rsidR="00000000" w:rsidRPr="00000000" w:rsidDel="00000000">
        <w:rPr>
          <w:rtl w:val="0"/>
        </w:rPr>
        <w:t xml:space="preserve">neesību tiek saglabāta.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precizēt attiecināmo izmaksu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Nr.663 ietvaros atbalsts tiek sniegts prototipu izstrādei, sasniedzot tehnoloģiju gatavības līmeni - 8, nepieciešams nodrošināt projektu iesniedzēju intelektuālo īpašumtiesību aizsardzībai. Tiek precizētas Noteikumos Nr.663 iekļautās attiecināmās izmaksas, pievienojot 27.15. apakšpunktu un paredzot, ka attiecināmas ir izmaksas, kas saistītas ar patentiem un citu nemateriālu aktīvu iegūšanu, ciktāl tos izmanto rūpnieciskā pētījuma, eksperimentālās izstrādes vai tehniski ekonomiskās priekšizpētes darbībām. Minētās izmaksas ir attiecināmas sīkiem (mikro), maziem un vidējiem komersantiem. Vienlaikus, Noteikumi Nr.663 tiek papildināti ar 42.</w:t>
      </w:r>
      <w:r w:rsidR="00000000" w:rsidRPr="00000000" w:rsidDel="00000000">
        <w:rPr>
          <w:vertAlign w:val="superscript"/>
          <w:rtl w:val="0"/>
        </w:rPr>
        <w:t xml:space="preserve">1 </w:t>
      </w:r>
      <w:r w:rsidR="00000000" w:rsidRPr="00000000" w:rsidDel="00000000">
        <w:rPr>
          <w:rtl w:val="0"/>
        </w:rPr>
        <w:t xml:space="preserve">punktu, paredzot, ka maksimāli pieļaujamā atbalsta intensitāte patentiem un citu nemateriālu aktīvu iegūšanai ir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iespēju komersantiem piesaistīt profesionālas zināšanas un nozares asociāciju ekspertīzi, tādējādi stimulējot projekta saskaņotību ar nozares attīstības tendencēm un starptautiskajām prioritātēm, jo īpaši stratēģiski nozīmīgos sektoros, piemēram, drošības un aizsardzības industrijā, Noteikumi Nr.663 tiek papildināti ar 27.16. apakšpunktu. Minētās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tiek attiecinātas atbilstoši Eiropas Komisijas 2023. gada 13. decembra Regulas (ES) Nr. 2023/2831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nosacījumiem. Vienlaikus, Noteikumi Nr.663 tiek papildināti ar 42.</w:t>
      </w:r>
      <w:r w:rsidR="00000000" w:rsidRPr="00000000" w:rsidDel="00000000">
        <w:rPr>
          <w:vertAlign w:val="superscript"/>
          <w:rtl w:val="0"/>
        </w:rPr>
        <w:t xml:space="preserve">3</w:t>
      </w:r>
      <w:r w:rsidR="00000000" w:rsidRPr="00000000" w:rsidDel="00000000">
        <w:rPr>
          <w:rtl w:val="0"/>
        </w:rPr>
        <w:t xml:space="preserve"> punktu, paredzot, ka maksimāli pieļaujamā atbalsta intensitāte patentiem un citu nemateriālu aktīvu iegūšanai ir 85%.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citus tehniskus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tiek precizēts Noteikumu Nr.663 6., 7. un 8. punkts, svītrojot atsauces uz elastības finansējumu. Izmaiņas veiktas ņemot vērā Eiropas Komisijas konceptuālo saskaņojumu Eiropas Savienības kohēzijas politikas programmas 2021.–2027.gadam vidusposma pārskatam.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tiek precizēts Noteikumu Nr.663 13.1. apakšpunkts, iekļaujot precizētu atsauci uz Noteikumu Nr.663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Noteikumi Nr.663 tiek papildināti ar 13.</w:t>
      </w:r>
      <w:r w:rsidR="00000000" w:rsidRPr="00000000" w:rsidDel="00000000">
        <w:rPr>
          <w:vertAlign w:val="superscript"/>
          <w:rtl w:val="0"/>
        </w:rPr>
        <w:t xml:space="preserve">1 </w:t>
      </w:r>
      <w:r w:rsidR="00000000" w:rsidRPr="00000000" w:rsidDel="00000000">
        <w:rPr>
          <w:rtl w:val="0"/>
        </w:rPr>
        <w:t xml:space="preserve">punktu, nosakot kārtību, ja projektu iesniegumu atlases ietvaros netiek saņemti pieteikumi par visu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Noteikumi Nr.663 tiek papildināti ar 17.</w:t>
      </w:r>
      <w:r w:rsidR="00000000" w:rsidRPr="00000000" w:rsidDel="00000000">
        <w:rPr>
          <w:vertAlign w:val="superscript"/>
          <w:rtl w:val="0"/>
        </w:rPr>
        <w:t xml:space="preserve">1 </w:t>
      </w:r>
      <w:r w:rsidR="00000000" w:rsidRPr="00000000" w:rsidDel="00000000">
        <w:rPr>
          <w:rtl w:val="0"/>
        </w:rPr>
        <w:t xml:space="preserve">punktu, nosakot, ka projektu iesniegumi, kuros paredzēta divējāda lietojuma jaunu produktu vai tehnoloģiju izstrāde ir prioritāri un to vērtēšana jānodrošina prioritārā kārtībā. Proti, sākotnēji tiek nodrošināta divējāda lietojuma projektu iesniegumu 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Noteikumi Nr.663 tiek papildināti ar 2.7., 2.8. un 2.9. apakšpunktu, lai skaidri definētu Noteikumos Nr.663 izmantotos terminus un mazinātu interpretācijas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Noteikumi Nr.663 tiek papildināti ar 19.6. apakšpunktu, lai nodrošinātu, ka projekta iesnieguma vērtēšanā un atbalsta piešķiršanā būtu skaidri nepārprotams projekta iesniedzēja un līgumpētījuma īstenotāja sadarbība projekta ietvaros. Ja projekta iesniegumā paredzēts īstenot līgumpētījumu, bet tas sastāda daļu no projekta, MK noteikumu projekta 19.6. apakšpunktā minētais dokuments nav jāiesniedz.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Precizēt Noteikumu Nr.663 33. punktu un tā apakšpunktus atbilstoši Finanšu ministrijas vadlīnijām Nr.1.2. "Vadlīnijas attiecināmo izmaksu noteikšanai Eiropas Savienības kohēzijas politikas programmas 2021.-2027.gada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Noteikumi Nr.663 tiek papildināti ar 42.</w:t>
      </w:r>
      <w:r w:rsidR="00000000" w:rsidRPr="00000000" w:rsidDel="00000000">
        <w:rPr>
          <w:vertAlign w:val="superscript"/>
          <w:rtl w:val="0"/>
        </w:rPr>
        <w:t xml:space="preserve">1 </w:t>
      </w:r>
      <w:r w:rsidR="00000000" w:rsidRPr="00000000" w:rsidDel="00000000">
        <w:rPr>
          <w:rtl w:val="0"/>
        </w:rPr>
        <w:t xml:space="preserve">punktu, lai skaidri definētu komunikācijas un vizuālās identitātes pasākumu izmaksu atbalsta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Noteikumu Nr.663 44.punkts tiek papildināts ar vārdiem: "Projekta īstenošanu uzsāk ne vēlāk kā sešus mēnešus pēc līguma par projekta īstenošanu noslēgšanas.", lai nodrošinātu, ka projektu īstenošana un finansējuma ieguldīšana tiek nodrošināta atbilstoši plānotajam.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Precizēt Noteikumu Nr.663 47.2. apakšpunktu, salāgojot komunikācijas un vizuālās identitātes pasākumu prasības ar ES fondu 2021.–2027. gada plānošanas perioda un Atveseļošanas fonda komunikācijas un dizaina vadlīnijām. Papildināt Noteikumus Nr.663 ar 47.</w:t>
      </w:r>
      <w:r w:rsidR="00000000" w:rsidRPr="00000000" w:rsidDel="00000000">
        <w:rPr>
          <w:vertAlign w:val="superscript"/>
          <w:rtl w:val="0"/>
        </w:rPr>
        <w:t xml:space="preserve">1 </w:t>
      </w:r>
      <w:r w:rsidR="00000000" w:rsidRPr="00000000" w:rsidDel="00000000">
        <w:rPr>
          <w:rtl w:val="0"/>
        </w:rPr>
        <w:t xml:space="preserve">punktu, nosakot, ka komunikācijas un vizuālās identitātes pasākumu prasības jānodrošina arī sadarbības partnerim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Precizēt Noteikumu Nr.663 53., 54. un 56. punktu, ņemot vērā, ka projektu iesniegumu un projektu rezultātu vērtēšanā tiek iesaistīta arī Latvijas Zinātnes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neietekmēs pirmajā projektu iesniegumu atlasē saņemto projektu iesniegumu vērtēšanu. MK noteikumu projekts un tajā iekļautie nosacījumi ir attiecināmi uz jaunu projektu iesniegumu atlasi.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23. septembra Regulas (ES, Euratom) 2024/2509 par finanšu noteikumiem, ko piemēro Savienības vispārējam budžetam (turpmāk – regula Nr. 2024/2509)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17. jūnija Regulas (ES) Nr. 651/2014, ar ko noteiktas atbalsta kategorijas atzīst par saderīgām ar iekšējo tirgu, piemērojot Līguma 107. un 108. pantu (turpmāk – Komisijas regula Nr. 651/2014)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23. septembra Regulas (ES, Euratom) 2024/2509 par finanšu noteikumiem, ko piemēro Savienības vispārējam budžetam (turpmāk – regula Nr. 2024/2509)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2024/2509 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18.</w:t>
            </w:r>
            <w:r w:rsidR="00000000" w:rsidRPr="00000000" w:rsidDel="00000000">
              <w:rPr>
                <w:sz w:val="24"/>
                <w:vertAlign w:val="superscript"/>
                <w:rtl w:val="0"/>
              </w:rPr>
              <w:t xml:space="preserve">1 </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17. jūnija Regulas (ES) Nr. 651/2014, ar ko noteiktas atbalsta kategorijas atzīst par saderīgām ar iekšējo tirgu, piemērojot Līguma 107. un 108. pantu (turpmāk – Komisijas regula Nr. 651/2014)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28. panta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27.15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28.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42.</w:t>
            </w:r>
            <w:r w:rsidR="00000000" w:rsidRPr="00000000" w:rsidDel="00000000">
              <w:rPr>
                <w:sz w:val="24"/>
                <w:vertAlign w:val="superscript"/>
                <w:rtl w:val="0"/>
              </w:rPr>
              <w:t xml:space="preserve">1 </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Rezultāti tiks atspoguļoti pēc publiskās apspriedes.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radīt papildus administratīvo slogu.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25-TA-1276</w:t>
    </w:r>
    <w:r>
      <w:br/>
    </w:r>
    <w:r w:rsidR="00000000" w:rsidRPr="00000000" w:rsidDel="00000000">
      <w:rPr>
        <w:rtl w:val="0"/>
      </w:rPr>
      <w:t xml:space="preserve">Izdrukāts 29.07.2026. 23.32 - 1.0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25-TA-1276</w:t>
    </w:r>
    <w:r>
      <w:br/>
    </w:r>
    <w:r w:rsidR="00000000" w:rsidRPr="00000000" w:rsidDel="00000000">
      <w:rPr>
        <w:rtl w:val="0"/>
      </w:rPr>
      <w:t xml:space="preserve">Izdrukāts 29.07.2026. 23.32 - 1.0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anotācija_(ex_ante)_25-TA-1276.docx</dc:title>
</cp:coreProperties>
</file>

<file path=docProps/custom.xml><?xml version="1.0" encoding="utf-8"?>
<Properties xmlns="http://schemas.openxmlformats.org/officeDocument/2006/custom-properties" xmlns:vt="http://schemas.openxmlformats.org/officeDocument/2006/docPropsVTypes"/>
</file>