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19. februāra noteikumos Nr. 68 "Izglītības programmu minimālās prasības zobārsta, farmaceita, māsas un vecmātes profesionālās kvalifikācijas iegūšanai""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pieņemta Eiropas Komisijas 2024.gada 4.marta deleģētā direktīva (ES) 2024/782 ar ko attiecībā uz vispārējās aprūpes māsas, zobārsta un farmaceita profesijas minimālajām apmācības prasībām groza Eiropas Parlamenta un Padomes Direktīvu 2005/36/EK (Dokuments attiecas uz EEZ) (turpmāk - direktīva 2024/782). Direktīvā 2024/782 noteiktais Latvijai ir juridiski saistošs, tādēļ ir nepieciešams nodrošināt, lai Latvijas tiesību akti būtu atbilstoši ES tiesību aktos noteiktajām tiesību normām.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Latvijas tiesību aktos direktīvā 2024/782 noteiktās tiesību normas, lai nodrošinātu, ka Latvijas izglītības programmās ir iekļautas Eiropas Parlamenta un Padomes 2005.gada 7.septembra direktīvai 2005/36/EK par profesionālo kvalifikāciju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direktīva 2005/36/EK) atbilstošas prasības, līdz ar to personas, kas iegūs kvalifikāciju vispārējās aprūpes māsas, zobārsta un farmaceita profesijās, varētu to automātiski atzīt citās ES dalībvalstīs vai EBTA valstīs un izmantot savas tiesības piedalīties brīva darbaspēka kustībā ES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19. februāra noteikumos Nr. 68 "Izglītības programmu minimālās prasības zobārsta, farmaceita, māsas un vecmātes profesionālās kvalifikācijas iegūšanai" (turpmāk - noteikumi Nr. 68) ir noteiktas minimālās prasības izglītības programmām dažās no profesijām, kurās to paredz Eiropas Parlamenta un Padomes 2005. gada 7. septembra Direktīva 2005/36/EK par profesionālo kvalifikāciju atzīšanu (turpmāk - direktīva 2005/36/EK). Ņemot vērā, ka minētās prasības tika izstrādātas pirms ilga laika, Eiropas Komisija vairāku gadu garumā veica pētījumus, lai pārliecinātos vai direktīvā 2005/36/EK noteiktās prasības kvalifikācijai ir atbilstošas mūsdienu zinātnes un tehnikas prasībām. Šādu pienākumu Eiropas Komisijai nosaka direktīvas 2005/36/EK 21.panta 6.punkts. Direktīvas 2024/782 balstās uz šādiem pētījumiem: Vispārējās aprūpes māsas profesijā (2020.g.) (</w:t>
      </w:r>
      <w:r w:rsidR="00000000" w:rsidRPr="00000000" w:rsidDel="00000000">
        <w:rPr>
          <w:i w:val="1"/>
          <w:rtl w:val="0"/>
        </w:rPr>
        <w:t xml:space="preserve">Mapping and assessment of developments of one of the sectoral professions under Directive 2005/36/EC. Nurse responsible for general care : final study</w:t>
      </w:r>
      <w:r w:rsidR="00000000" w:rsidRPr="00000000" w:rsidDel="00000000">
        <w:rPr>
          <w:rtl w:val="0"/>
        </w:rPr>
        <w:t xml:space="preserve">, pieejams: https://op.europa.eu/en/publication-detail/-/publication/af874ea4-a1c9-11ea-9d2d-01aa75ed71a1/language-en), Zobārsta profesijā (2022.g.) (</w:t>
      </w:r>
      <w:r w:rsidR="00000000" w:rsidRPr="00000000" w:rsidDel="00000000">
        <w:rPr>
          <w:i w:val="1"/>
          <w:rtl w:val="0"/>
        </w:rPr>
        <w:t xml:space="preserve">Mapping and assessment of developments for sectoral professions under Directive 2005/36/EC. The profession of dental practitioner.</w:t>
      </w:r>
      <w:r w:rsidR="00000000" w:rsidRPr="00000000" w:rsidDel="00000000">
        <w:rPr>
          <w:rtl w:val="0"/>
        </w:rPr>
        <w:t xml:space="preserve"> Pieejams: https://op.europa.eu/en/publication-detail/-/publication/d9ba3789-a5a1-11ec-83e1-01aa75ed71a1/language-en), Farmaceita profesijā (2022.g.) (</w:t>
      </w:r>
      <w:r w:rsidR="00000000" w:rsidRPr="00000000" w:rsidDel="00000000">
        <w:rPr>
          <w:i w:val="1"/>
          <w:rtl w:val="0"/>
        </w:rPr>
        <w:t xml:space="preserve">Mapping and assessment of developments for sectoral professions under Directive 2005/36/EC The profession of pharmacist. </w:t>
      </w:r>
      <w:r w:rsidR="00000000" w:rsidRPr="00000000" w:rsidDel="00000000">
        <w:rPr>
          <w:rtl w:val="0"/>
        </w:rPr>
        <w:t xml:space="preserve">Pieejams: https://op.europa.eu/en/publication-detail/-/publication/1990d6c1-a40f-11ec-83e1-01aa75ed71a1/language-en).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68 informatīvajā atsaucē uz Eiropas Savienības direktīvām ir minēta tikai Eiropas Parlamenta un Padomes 2013.gada 20.novembra Direktīva 2013/55/ES, ar ko groza Direktīvu 2005/36/EK par profesionālo kvalifikāciju atzīšanu un Regulu (ES) Nr.1024/2012 par administratīvo sadarbību, izmantojot Iekšējā tirgus informācijas sistēmu (IMI regulu). Pamata tiesību akts, kurā tiek veikti grozījumi, ir direktīva 2005/36/EK.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par vispārējās aprūpes māsām tika konstatēts, ka ES dalībvalstu izglītības programmās, kurās tiek iegūta vispārējās aprūpes māsas kvalifikācija, nav atspoguļots vispārēji atzīts zinātnes un tehnikas progress, kas nebija atspoguļots vai pietiekami atspoguļots tagadējās minimālajās prasībās, kas noteiktas direktīvā 2005/36/EK. Arī noteikumi Nr. 68, ar kuriem ir pārņemts atbilstoši direktīvā 2005/36/EK noteiktais, nesatur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atbilstoši Direktīvai 2024/782 ir noteikts, ka māsas (vispārējās aprūpes māsas) profesijā minimālajām prasībām kvalifikācijai ir jāietver tēmas, kas saistītas ar vispārēji atzītu zinātnes un tehnikas progresu un kuras līdz šim nav pietiekami atspoguļotas direktīvā 2005/36: cilvēkorientētas aprūpes teorija, vadībzinības, ko izmanto māszinībā, uz pierādījumiem balstīta prakse, e-veselība un tehniskas inovācijas, kas saistītas ar veselības aprūpes un māsu darba metodēm.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par zobārstiem tika konstatēts, ka ES dalībvalstu izglītības programmās, kurās tiek iegūta zobārsta kvalifikācija, nav atspoguļots vispārēji atzīts zinātnes un tehnikas progress, kas nebija atspoguļots vai pietiekami atspoguļots tagadējās minimālajās prasībās, kas noteiktas direktīvā 2005/36/EK. Arī noteikumi Nr. 68, ar kuriem ir pārņemts atbilstoši direktīvā 2005/36/EK noteiktais, nesatur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atbilstoši Direktīvai 2024/782 ir noteikts, ka zobārsta profesijā minimālajām prasībām kvalifikācijai ir jāietver tēmas, kas saistītas ar vispārēji atzītu zinātnes un tehnikas progresu un kuras līdz šim nav pietiekami atspoguļotas direktīvā 2005/36: implantoloģija, gerodontoloģija, starpprofesionāļu komandas veikta aprūpe, sabiedrības zobu veselība - sabiedrības mutes dobuma veselība, prakses vadība, ģenētika un genomika, imunoloģija, reģeneratīvā medicīna/zobārstniecība un digitālās tehnoloģijas zobārstniecībā.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par farmaceitiem tika konstatēts, ka ES dalībvalstu izglītības programmās, kurās tiek iegūta farmaceita kvalifikācija, nav atspoguļots vispārēji atzīts zinātnes un tehnikas progress, kas nebija atspoguļots vai pietiekami atspoguļots tagadējās minimālajās prasībās, kas noteiktas direktīvā 2005/36/EK. Arī noteikumi Nr. 68, ar kuriem ir pārņemts atbilstoši direktīvā 2005/36/EK noteiktais, nesatur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atbilstoši Direktīvai 2024/782 ir noteikts, ka farmaceita profesijā minimālajām prasībām kvalifikācijai ir jāietver tēmas, kas saistītas ar vispārēji atzītu zinātnes un tehnikas progresu un kuras līdz šim nav pietiekami atspoguļotas direktīvā 2005/36:biofarmācijas tehnoloģija un biotehnoloģija, ģenētika un farmakogenomika, imunoloģija, klīniskā farmācija, farmaceitiskā aprūpe, sociālā farmācija, epidemioloģija un farmakoepidemioloģija, farmācijas prakse, starpnozaru un daudznozaru sadarbība, patoloģija un patofizioloģija, veselības ekonomika un farmakoekonomika, informācijas tehnoloģijas un digitālā tehnoloģija.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68. 4.punktā neprecīzi ir noteikts minimālais rezidentūras programmas ilgums zobārsta profesijas specialitātēs, jo šajā punktā ir iekļautas arī tādas specialitātes, kas nav noteiktas direktīvas 2005/36/EK V pielikuma 5.3.3. punktā, līdz ar to neatbilst noteikumu nr. 68 deleģējuma tvērumam. Šāds regulējums rada tiesību normu dublēšanos, jo rezidentūras programmas ilgumu zobārsta profesijas specialitātēs nosaka Ministru kabineta 2024. gada 24. septembra noteikumi Nr. 617 “Noteikumi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līdzīga principa Ministru kabineta 2020. gada 7. janvāra noteikumi Nr. 8 “Grozījumi Ministru kabineta 2002. gada 23. jūlija noteikumos Nr. 315 "Izglītības programmu minimālās prasības ārsta profesionālās kvalifikācijas iegūšanai"” svītroja no noteikumiem Ministru kabineta 2002. gada 23. jūlija noteikumiem Nr. 315 "Izglītības programmu minimālās prasības ārsta profesionālās kvalifikācijas iegūšanai" (turpmāk – noteikumi Nr. 315) ārsta profesijas specialitātes narkoloģija, sporta medicīna, psihoterapija, bērnu infekcijas slimības, bērnu kardioloģija, bērnu pneimonoloģija, bērnu nefroloģija, bērnu gastroenteroloģija, bērnu hematoonkoloģija, bērnu alergoloģija, klīniskā fizioloģija, transplantoloģija, osteopātija, kā arī visās pārējās ārsta profesijas specialitātes, kurās minimālais ilgums kvalifikācijas iegūšanai ir divi vai viens gads. Pamatojums minēto ārsta profesijas specialitāšu svītrošanai no noteikumiem Nr.315 ir tas, ka tajās kvalifikācijas ieguves ilgumu nenosaka direktīva 2005/36/EK, bet gan 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noteikumu Nr. 68 4.punktā, svītrojot prasības attiecībā uz zobārsta profesijas specialitātēm paradontoloģija, bērnu zobārstniecība, zobu protezēšana, endodontija.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68 informatīvajā atsaucē uz Eiropas Savienības direktīvām iztrūkst atsauce uz direktīvu 2005/36/EK.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68 informatīvajā atsaucē uz Eiropas Savienības direktīvām ir peredzēts izdarīt papildinājumu un pievienot arī atsauci uz direktīvu 2005/36/EK.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pieņemšanas rezultātā studējošie izglītības programmās, kurās iegūst kvalifikāciju māsas, zobārsta un farmaceita profesijās, iegūs kvalifikāciju, kas atbilst direktīvā 2005/36/EK noteiktajām prasībām un turpmākās profesionālās karjeras laikā varēs savu kvalifikāciju atzīt automātiski jebkurā no Eiropas Savienības dalībvalstīm.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Universitātei, Rīgas Stradiņa Universitātei, Daugavpils Universitātei būs pienākums pārskatīt izglītības programmu saturu un plānojumu, lai tas būtu atbilstošs direktīvas 2005/36/EK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programmas ir jāpārskata, lai tās būtu atbilstošas direktīva 2005/36/EK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32024L0782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2024.gada 4.marta deleģētā direktīva (ES) 2024/782 ar ko attiecībā uz vispārējās aprūpes māsas, zobārsta un farmaceita profesijas minimālajām apmācības prasībām groza Eiropas Parlamenta un Padomes Direktīvu 2005/36/EK (Dokuments attiecas uz EEZ) (turpmāk - direktīva 2024/782)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2024/782 ir noteiktas prasības kvalifikāciju iegūšanai māsas (vispārējās aprūpes māsa), zobārsta un farmaceita profesijās, kuras Latvijā ir jāiekļauj attiecīgajās izglītības programmās.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2024.gada 4.marta deleģētā direktīva (ES) 2024/782 ar ko attiecībā uz vispārējās aprūpes māsas, zobārsta un farmaceita profesijas minimālajām apmācības prasībām groza Eiropas Parlamenta un Padomes Direktīvu 2005/36/EK (Dokuments attiecas uz EEZ) (turpmāk - direktīva 2024/782)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1.punkts par direktīvas 2005/36/EK 31.panta 6. punkta e)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 par noteikumu nr. 68 8.5.</w:t>
            </w:r>
            <w:r w:rsidR="00000000" w:rsidRPr="00000000" w:rsidDel="00000000">
              <w:rPr>
                <w:sz w:val="24"/>
                <w:vertAlign w:val="superscript"/>
                <w:rtl w:val="0"/>
              </w:rPr>
              <w:t xml:space="preserve">1</w:t>
            </w:r>
            <w:r w:rsidR="00000000" w:rsidRPr="00000000" w:rsidDel="00000000">
              <w:rPr>
                <w:sz w:val="24"/>
                <w:rtl w:val="0"/>
              </w:rPr>
              <w:t xml:space="preserve">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1.punkts par direktīvas 2005/36/EK 31.panta 6. punkta f)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 par noteikumu nr. 68 8.5.</w:t>
            </w:r>
            <w:r w:rsidR="00000000" w:rsidRPr="00000000" w:rsidDel="00000000">
              <w:rPr>
                <w:sz w:val="24"/>
                <w:vertAlign w:val="superscript"/>
                <w:rtl w:val="0"/>
              </w:rPr>
              <w:t xml:space="preserve">2</w:t>
            </w:r>
            <w:r w:rsidR="00000000" w:rsidRPr="00000000" w:rsidDel="00000000">
              <w:rPr>
                <w:sz w:val="24"/>
                <w:rtl w:val="0"/>
              </w:rPr>
              <w:t xml:space="preserve">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1.punkts par direktīvas 2005/36/EK 31.panta 6. punkta g)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 par noteikumu nr. 68 8.5.</w:t>
            </w:r>
            <w:r w:rsidR="00000000" w:rsidRPr="00000000" w:rsidDel="00000000">
              <w:rPr>
                <w:sz w:val="24"/>
                <w:vertAlign w:val="superscript"/>
                <w:rtl w:val="0"/>
              </w:rPr>
              <w:t xml:space="preserve">3</w:t>
            </w:r>
            <w:r w:rsidR="00000000" w:rsidRPr="00000000" w:rsidDel="00000000">
              <w:rPr>
                <w:sz w:val="24"/>
                <w:rtl w:val="0"/>
              </w:rPr>
              <w:t xml:space="preserve">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pielikuma 1.punkts par direktīvas 2005/36/EK  V pielikuma 5.2.1. punkta A apakšpunkta a.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 par noteikumu nr. 68 11.1.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pielikuma 1.punkts par direktīvas 2005/36/EK  V pielikuma 5.2.1. punkta A apakšpunkta d.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 par noteikumu nr. 68 11.3.</w:t>
            </w:r>
            <w:r w:rsidR="00000000" w:rsidRPr="00000000" w:rsidDel="00000000">
              <w:rPr>
                <w:sz w:val="24"/>
                <w:vertAlign w:val="superscript"/>
                <w:rtl w:val="0"/>
              </w:rPr>
              <w:t xml:space="preserve">1</w:t>
            </w:r>
            <w:r w:rsidR="00000000" w:rsidRPr="00000000" w:rsidDel="00000000">
              <w:rPr>
                <w:sz w:val="24"/>
                <w:rtl w:val="0"/>
              </w:rPr>
              <w:t xml:space="preserve">.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pielikuma 1.punkts par direktīvas 2005/36/EK  V pielikuma 5.2.1.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32.punkts par noteikumu nr. 68 11.3.</w:t>
            </w:r>
            <w:r w:rsidR="00000000" w:rsidRPr="00000000" w:rsidDel="00000000">
              <w:rPr>
                <w:sz w:val="24"/>
                <w:vertAlign w:val="superscript"/>
                <w:rtl w:val="0"/>
              </w:rPr>
              <w:t xml:space="preserve">1</w:t>
            </w:r>
            <w:r w:rsidR="00000000" w:rsidRPr="00000000" w:rsidDel="00000000">
              <w:rPr>
                <w:sz w:val="24"/>
                <w:rtl w:val="0"/>
              </w:rPr>
              <w:t xml:space="preserve">. apakšpunktu, 33.punkts par noteikumu nr. 68 11.4.4. apakšpunktu, 34. punkts par noteikumu nr. 68 11.4.7. apakšpunktu, 35. punkts par noteikumu nr. 68 11.4.8.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2.punkts par direktīvas 2005/36/EK 34.panta 3. punkta f)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par noteikumu nr. 68 2.6.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pielikuma 2.punkts par direktīvas 2005/36/EK  V pielikuma 5.3.1. punkta A apakšpunkt trešo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par noteikumu nr. 68 3.1.3.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pielikuma 2.punkts par direktīvas 2005/36/EK  V pielikuma 5.3.1.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 par noteikumu nr. 68 3.2.5. apakšpunktu, 4.punkts par noteikumu nr. 68 3.2.11. apakšpunktu, 5. punkts par noteikumu nr. 68 3.2.20.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pielikuma 2.punkts par direktīvas 2005/36/EK  V pielikuma 5.3.1. punkta C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6.punkts par noteikumu nr. 68 3.3.5. apakšpunktu, 7.punkts par noteikumu nr. 68 3.3.13. apakšpunktu, 8. punkts par noteikumu nr. 68 3.3.15. apakšpunktu, 8. punkts par noteikumu nr. 68 3.3.15. apakšpunktu, 9. punkts par noteikumu nr. 68 3.3.17. apakšpunktu, 10. punkts par noteikumu nr. 68 3.3.18. apakšpunktu, 11. punkts par noteikumu nr. 68 3.3.19. apakšpunktu, 12. punkts par noteikumu nr. 68 3.3.20.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3.punkts par direktīvas 2005/36/EK 44.panta 3. punkta f)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 par noteikumu nr. 68 5.6.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3.punkts par direktīvas 2005/36/EK 44.panta 3. punkta g)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 par noteikumu nr. 68 5.7.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3.punkts par direktīvas 2005/36/EK 44.panta 3. punkta h)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 par noteikumu nr. 68 5.8.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1.panta 3.punkts par direktīvas 2005/36/EK 44.panta 3. punkta i)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 par noteikumu nr. 68 5.9.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2024/782 pielikuma 3.punkts par direktīvas 2005/36/EK  V pielikuma 5.6.1.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18.punkts par noteikumu nr. 68 6.8. apakšpunktu, 19.punkts par noteikumu nr. 68 6.12.</w:t>
            </w:r>
            <w:r w:rsidR="00000000" w:rsidRPr="00000000" w:rsidDel="00000000">
              <w:rPr>
                <w:sz w:val="24"/>
                <w:vertAlign w:val="superscript"/>
                <w:rtl w:val="0"/>
              </w:rPr>
              <w:t xml:space="preserve">1</w:t>
            </w:r>
            <w:r w:rsidR="00000000" w:rsidRPr="00000000" w:rsidDel="00000000">
              <w:rPr>
                <w:sz w:val="24"/>
                <w:rtl w:val="0"/>
              </w:rPr>
              <w:t xml:space="preserve">. apakšpunktu, 20. punkts par noteikumu nr. 68 6.16. apakšpunktu, 21. punkts par noteikumu nr. 68 6.17. apakšpunktu, 22. punkts par noteikumu nr. 68 6.18. apakšpunktu, 23. punkts par noteikumu nr. 68 6.19. apakšpunktu, 24. punkts par noteikumu nr. 68 6.20. apakšpunktu, 25. punkts par noteikumu nr. 68 6.21. apakšpunktu, 26. punkts par noteikumu nr. 68 6.22. apakšpunktu, 27. punkts par noteikumu nr. 68 6.23.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e-pastā sniedza priekšlikumus notekumu projekta precizēšanai.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Farmaceitu biedrība informē, ka noteikumu projektā ietvertos grozījumus atbalsta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projekts tika nodots publiskajai apspriešanai ar mērķi iegūt veselības aprūpes nozares augstskolu un profesionālo organizāciju viedokli par farmācijas, māszinību un zobārstniecības nozaru mūsdienu attīstības prasībām atbilstošas terminoloģijas lietošanu noteikumu projekta tekstā.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Universitātēm būs pienākums izvērtēt, vai studiju programmās, kurās  tiek iegūta farmaceita, zobārsta, māsas kvalifikācija, saturs ir atbilstošs noteikumu projektā noteiktajam un nepieciešamības gadījumā veikt precizējumus.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25-TA-2870</w:t>
    </w:r>
    <w:r>
      <w:br/>
    </w:r>
    <w:r w:rsidR="00000000" w:rsidRPr="00000000" w:rsidDel="00000000">
      <w:rPr>
        <w:rtl w:val="0"/>
      </w:rPr>
      <w:t xml:space="preserve">Izdrukāts 29.07.2026. 22.52 - 3.0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25-TA-2870</w:t>
    </w:r>
    <w:r>
      <w:br/>
    </w:r>
    <w:r w:rsidR="00000000" w:rsidRPr="00000000" w:rsidDel="00000000">
      <w:rPr>
        <w:rtl w:val="0"/>
      </w:rPr>
      <w:t xml:space="preserve">Izdrukāts 29.07.2026. 22.52 - 3.0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anotācija_(ex_ante)_25-TA-2870.docx</dc:title>
</cp:coreProperties>
</file>

<file path=docProps/custom.xml><?xml version="1.0" encoding="utf-8"?>
<Properties xmlns="http://schemas.openxmlformats.org/officeDocument/2006/custom-properties" xmlns:vt="http://schemas.openxmlformats.org/officeDocument/2006/docPropsVTypes"/>
</file>