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150 804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586; 2024.gadā – 694; 2025.gadā – 685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39 pilsonības pretendenti, t.sk., 1 viņu nepilngadīgais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61% ir krievs, 10% ukrainis, 7% baltkrievs, kā arī nezināma, armēnis, neizvēlēta, ķīnietis, rumānis, moldāvs, lietuvietis.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38% - augstākā, 33% - vidējā, 26% - pamata, 3% - nav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38 pilsonības pretendenti, kuri naturalizējas saskaņā ar Pilsonības likuma 17.panta pirmo daļu un 1 pilsonības pretendents, kurš naturalizējas saskaņā ar Pilsonības likuma 15.pantu.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garantiju fonda administrācijas un Ieslodzījuma vietu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25-TA-2941</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25-TA-2941</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anotācija_(ex_ante)_25-TA-2941.docx</dc:title>
</cp:coreProperties>
</file>

<file path=docProps/custom.xml><?xml version="1.0" encoding="utf-8"?>
<Properties xmlns="http://schemas.openxmlformats.org/officeDocument/2006/custom-properties" xmlns:vt="http://schemas.openxmlformats.org/officeDocument/2006/docPropsVTypes"/>
</file>