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Latvijas uzņēmumu attīstībai nepieciešamā finansējuma piesaisti kapitāla tirgos, tādējādi paaugstinot uzņēmumu vietējo un starptautisko konkurētspēju un vienlaikus attīstot kapitāla tirgu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 (turpmāk - MK Noteikumi) nepieciešams precizēt atbalstāmo sekmīgu darbību īstenošanas termiņš, lai visiem atbalstāmajiem komersantiem būtu vienādi nosacījumi. Vienlaikus nepieciešams veikt tehniskus precizējumus, lai komersantiem un atbalsta sniedzējam būtu pilnīgi un tiesiski skaidri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16.1. un 16.2. apakšpunktus, izkļaujot prasību, ka akciju iekļaušana tirdzniecības vietā un parāda vērtspapīru iekļaušana tirdzniecības vietā jānotiek divu gadu laikā no civiltiesiskā līguma par projekta īstenošanu noslēgšanas, bet nosakot termiņu līdz 2023. gada 31. decembrim, kas ir projekta īstenošanas termiņš, atbilstoši MK Noteikumu 11. punktam. Minētā prasība tiek izkļauta, atbilstoši komersantu sniegtajai informācijai, ka projektu noteiktajā termiņā (pilnībā pabeigta kapitāla piesaiste) nav iespējams realizēt. Saskaņā ar starptautiskajiem grāmatvedības standartiem, datums, kad iespējams pabeigt 2022. gada pārskata auditu ir marta vidus un ņemot vērā, ka gada pārskata audits ir obligāta nepieciešamība uzņēmuma sākotnējā publiskā piedāvājuma (IPO) procesam, tad projekta pabeigšana 24 mēnešu laikā ir neiespējama, ja līgums slēgts gada pirmajos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ar 36.</w:t>
      </w:r>
      <w:r w:rsidR="00000000" w:rsidRPr="00000000" w:rsidDel="00000000">
        <w:rPr>
          <w:vertAlign w:val="superscript"/>
          <w:rtl w:val="0"/>
        </w:rPr>
        <w:t xml:space="preserve">1 </w:t>
      </w:r>
      <w:r w:rsidR="00000000" w:rsidRPr="00000000" w:rsidDel="00000000">
        <w:rPr>
          <w:rtl w:val="0"/>
        </w:rPr>
        <w:t xml:space="preserve">nosakot, ka projekta iesniedzējam jāiesniedz parakstīts apliecinājums, ka uz uzņēmumu nav attiecināma Komisijas regulas Nr. 651/2014 2. panta 18. punkta "c" apakšpunktā minētā situācija – tam nav piemērota kolektīva maksātnespējas procedūra, un tas neatbilst Latvijas Republikas tiesību aktos noteiktajiem kritērijiem, lai tam pēc kreditoru pieprasījuma piemērotu kolektīvu maksātnespējas procedūru. Ievērojot to, ka par Komisijas regulas Nr.651/2014 2.panta 18.punkta c) apakšpunktā ietverto piebildi “vai tas atbilst normatīvajos aktos noteiktiem kritērijiem, lai tam pēc kreditora pieprasījuma piemērotu maksātnespējas procedūru” pārbaudi nav iespējams veikt, pamatojoties uz publiskajos reģistros pieejamo informāciju un tās pārbaude parasti tiek veikta, ņemot vērā atbalsta pretendenta iesniegtu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neietekmēs jau iesniegušos finansējuma saņēmējus, jo atlases nolikumā tiek ietverta standartforma apliecinājumam par to, ka tie nav grūtībās nonākuši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tehniski precizēt MK Noteikumu 27. un 27.</w:t>
      </w:r>
      <w:r w:rsidR="00000000" w:rsidRPr="00000000" w:rsidDel="00000000">
        <w:rPr>
          <w:vertAlign w:val="superscript"/>
          <w:rtl w:val="0"/>
        </w:rPr>
        <w:t xml:space="preserve">1  </w:t>
      </w:r>
      <w:r w:rsidR="00000000" w:rsidRPr="00000000" w:rsidDel="00000000">
        <w:rPr>
          <w:rtl w:val="0"/>
        </w:rPr>
        <w:t xml:space="preserve">punktus, nosakot, ka ja tiek pārkāptas šajos noteikumos noteiktās komercdarbības atbalsta kontroles normas, tostarp nosacījumi, kas izriet no Regulas Nr.651/2014  vai Komisijas regula 1407/2013 finansējuma saņēmējam ir pienākums atmaksāt sadarbības iestādei visu saņemto nelikumīgo valsts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3.1.1.3. pasākuma esošo mērķa grupu, kas ir MK noteikumu 13.punktā minētais projekta iesniedzējs – mazais un vidējais komersants, kas atbilst Komisijas 2014. gada 17. jūnija Regulas (ES) Nr. 651/2014, ar ko noteiktas atbalsta kategorijas atzīst par saderīgām ar iekšējo tirgu, piemērojot Līguma 107. un 108. pantu, I pielikuma 2. pantā noteiktajiem kritērijiem un ir Latvijas Republikas komercreģistrā reģistrētas kapitālsabiedrības.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(2013. gada 18.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un 3. punktā un 4. punkta "a", "b" un "c" apakšpunktā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36.</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(2013. gada 18.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27.</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22-TA-865</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22-TA-865</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anotācija_(ex_ante)_22-TA-865.docx</dc:title>
</cp:coreProperties>
</file>

<file path=docProps/custom.xml><?xml version="1.0" encoding="utf-8"?>
<Properties xmlns="http://schemas.openxmlformats.org/officeDocument/2006/custom-properties" xmlns:vt="http://schemas.openxmlformats.org/officeDocument/2006/docPropsVTypes"/>
</file>