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11. aprīļa noteikumos Nr. 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par budžetu un finanšu vadību 19.</w:t>
      </w:r>
      <w:r w:rsidR="00000000" w:rsidRPr="00000000" w:rsidDel="00000000">
        <w:rPr>
          <w:vertAlign w:val="superscript"/>
          <w:rtl w:val="0"/>
        </w:rPr>
        <w:t xml:space="preserve">3</w:t>
      </w:r>
      <w:r w:rsidR="00000000" w:rsidRPr="00000000" w:rsidDel="00000000">
        <w:rPr>
          <w:rtl w:val="0"/>
        </w:rPr>
        <w:t xml:space="preserve"> panta pirmo un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2021. gada 7. septembra noteikumu Nr.621 "Eiropas Savienības Atveseļošanas un noturības mehānisma plāna īstenošanas un uzraudzības kārtība"  2.2. apakšpunktu, kas nosaka, ka nozares ministrija nodrošina un īsteno Atveseļošanas fonda plāna ietvaros resorā plānotās reformas un investīcijas.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pagarināt 1.1.1.1.i. investīcijas "Konkurētspējīgs dzelzceļa pasažieru transports kopējā Rīgas pilsētas sabiedriskā transporta sistēmā" pirmās projektu iesniegumu atlases kārtas finansējuma saņēmējam valsts akciju sabiedrībai "Latvijas dzelzceļš" atsevišķu projekta darbību izmaksu attiecināmības termiņu līdz 2026. gada 30.oktobrim, lai pēc 2026.gada 31.augusta netiktu zaudēts Atveseļošanas un noturības mehānisma fonda finansējums.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 "Latvijas dzelzceļš" (turpmāk – LDz) kā finansējuma saņēmējs pirmās projektu iesniegumu atlases kārtas ietvaros īsteno Atveseļošanas un noturības mehānisma fonda (turpmāk - AF) finansēto investīciju projektu Nr.1.1.1.1.i.2/1/23/I/CFLA/001 "Dzelzceļa elektrificētā tīkla modernizācija un attīstība" (turpmāk - Projekts). 2024.gada 28.februārī starp LDz un Centrālo finanšu un līgumu aģentūru  (turpmāk – Aģentūra) tika noslēgts līgums Projekta īstenošanu un LDz ir pieejams AF finansējums  72 700 000 </w:t>
      </w:r>
      <w:r w:rsidR="00000000" w:rsidRPr="00000000" w:rsidDel="00000000">
        <w:rPr>
          <w:i w:val="1"/>
          <w:rtl w:val="0"/>
        </w:rPr>
        <w:t xml:space="preserve">euro</w:t>
      </w:r>
      <w:r w:rsidR="00000000" w:rsidRPr="00000000" w:rsidDel="00000000">
        <w:rPr>
          <w:rtl w:val="0"/>
        </w:rPr>
        <w:t xml:space="preserve">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 gada 11. aprīļa noteikumos Nr. 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īstenošanas noteikumi"" (turpmāk- MK noteikumi Nr.190) noteiktajam, LDz Projekta īstenošanas termiņš ir 2026.gada 31.augusts un līdz 2026. gada 31.augustam sasniedzamais mērķis-  izveidoto elektrificēto dzelzceļa līniju un modernizēto esošo dzelzceļa līniju garums pasažieru pārvadāšanai – 100 km.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LDz īsteno elektrificētā dzelzceļa tīkla modernizāciju un attīstību, noslēdzot līgumus, t.sk. būvniecības līgumu un programmēšanas līgumu. Būvniecības līguma ietvaros tiek izbūvētas jaunas signalizācijas, centralizācijas un bloķēšanas sistēmu (turpmāk - MPC) lauka iekārtas (aparatūra), savukārt programmēšanas jeb MPC līguma ietvaros tiek veikta mikroprocesoru centralizācijas un mikroprocesoru kontrolieru centralizācijas sistēmu programmnodrošinājuma modifikācija/modernizācija, kā arī nodrošināta jaunās MPC sistēmas versijas integrācija esošajā centralizācijas sistēmā jaunajās elektrificētajās līnijās Zasulauks–Bolderāja I un Jūrmalas virzienā.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Elektrificējot jaunus dzelzceļa posmus, ir nepieciešams pielāgot MPC sistēmu, lai nodrošinātu pareizu elektrovilcienu satiksmes organizāciju un integrāciju ar jaunizbūvēto infrastruktūru. Atsevišķu darbību kavēšanās dēļ būvniecības līguma ietvaros būvdarbi tiks pabeigti (tostarp veikti visi maksājumi) līdz 2026. gada 31. augustam, savukārt programmēšanas līguma izpilde Zasulauks–Bolderāja I un Jūrmalas līnijās tiks pabeigta pēc 2026. gada 31. augusta.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LDz 2025.gada 20.augustā ir noslēdzis  līgumu Nr.L-1166/2025 "Dzelzceļa elektrificētā tīkla modernizācija un attīstība: mikroprocesoru centralizācijas un mikroprocesoru dispečeru centralizācijas sistēmu modifikācija" (turpmāk – MPC līgums) par MPC pielāgošanas darbiem ar SIA "Alstom Baltics" (turpmāk – Uzņēmējs) par kopējo līguma summu 2 285 000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LDz sniegtajai informācijai Satiksmes ministrijai un Aģentūrai, Uzņēmējs ir informējis LDz kā pasūtītāju, ka iestājušies riski veikt MPC līguma izpildi MPC līgumā noteiktajā laikā, t.i. līdz 2026.gada 31.jūlijam, nepabeidzot darbu apjomu 400 400 </w:t>
      </w:r>
      <w:r w:rsidR="00000000" w:rsidRPr="00000000" w:rsidDel="00000000">
        <w:rPr>
          <w:i w:val="1"/>
          <w:rtl w:val="0"/>
        </w:rPr>
        <w:t xml:space="preserve">euro</w:t>
      </w:r>
      <w:r w:rsidR="00000000" w:rsidRPr="00000000" w:rsidDel="00000000">
        <w:rPr>
          <w:rtl w:val="0"/>
        </w:rPr>
        <w:t xml:space="preserve"> vērtībā. MPC līguma izpilde saistīta ar LDz iepriekš uzsāktajiem un paralēli īstenojamajiem Kohēzijas fonda līdzfinansētajiem projektiem Nr. 3.1.1.3/1/24/I/001 "Dzelzceļa pasažieru infrastruktūras modernizācija, 2.posms" un Nr. 3.1.1.3/1/24/I/002 "Dzelzceļa infrastruktūras modernizācija vilcienu kustības ātruma paaugstināšanai, 2.posms" un secīgi iespējama tikai pēc minēto projektu programmnodrošinājuma versiju secīgas uzstādīšanas. Atbilstoši aktualizētajam laika grafikam un secīgai darbu saskaņošanai saistītajos projektos MPC līguma saistību izpilde no Uzņēmēja puses ir iespējama 2026.gada septembrī.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LDz ir aicinājis Uzņēmēju rast iespēju minētā projekta programmnodrošinājuma versijas uzstādīt ātrāk vai paralēli, tomēr Uzņēmējs ir skaidrojis, ka ātrāka vai paralēla programmnodrošinājuma uzstādīšana nav iespējama, jo atsevišķu versiju ieviešanai pirms nākamās versijas uzstādīšanas ir nepieciešams saņemt neatkarīgas institūcijas izsniegtu sākotnējo un/vai gala drošības apliecinājumu. MPC līguma ietvaros Uzņēmējam ir jāveic Būvniecības līguma ietvaros uzstādīto jauno signalizācijas, centralizācijas un bloķēšanas (SCB) lauka iekārtu integrēšana esošajā centralizācijas sistēmā jaunajā elektrificētajā posmā Zasulauks–Bolderāja I. Ņemot vērā, ka šajā posmā līdz 2026. gada septembra beigām nav paredzēta elektrovilcienu kustība, darbu pabeigšana iepriekš norādītajā termiņā nerada riskus vilcienu kustības drošībai.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kontakttīkla sistēma nodrošina elektrovilcienu kustību, savukārt MPC sistēma nodrošina vilcienu kustības organizāciju. Pārbūvētā vai izbūvētā kontakttīkla sistēma darbojas neatkarīgi no MPC sistēmas, taču, elektrificējot jaunus sliežu ceļu posmus, ir nepieciešams pielāgot MPC sistēmu, lai nodrošinātu atbilstošu vilcienu kustības organizāciju un integrāciju ar jaunizbūvēto infrastruktūru. Līdz ar to elektrovilcienu kustībai piemērotie kilometri, kas skar Atveseļošanas un noturības mehānisma plāna noteikto sasniedzamo mērķa rādītāju - 100 km dzelzceļa līniju modernizācija pasažieru pārvadājumiem tiks izbūvēti, savukārt MPC sistēmas MPC līgumā paredzēto pielāgošanas darbu pabeigšana pēc iepriekš noteiktā termiņa var tikt veikta atsevišķi un nerada riskus drošai vilcienu kustībai.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MPC sistēma nodrošina vilcienu kustības vadību, MPC  līguma izpildes kavēšanās neietekmēs vilcienu kustību, jo pārbūvētā vai no jauna izbūvētā kontakttīkla sistēma darbojas neatkarīgi no MPC sistēmas. Tādējādi tiks nodrošināti elektrovilcienu kustībai nepieciešamie kilometri, kas ietekmē ANM plānā noteiktā mērķa rādītāja sasniegšanu (100 km pasažieru pārvadājumiem paredzētu dzelzceļa līniju modernizācija). Savukārt MPC līgumā paredzēto pielāgošanas darbu pabeigšana pēc noteiktā termiņa var tikt veikta atsevišķi un nerada riskus drošai vilcienu satiksmei.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MPC līguma izpilde ir sadalīta divos posmos attiecībā pret 2026.gada 31.augusta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2026. gada 31. augustam: tiks pilnībā pabeigti darbi par kopējo summu 1 884 600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2026. gada 31. augusta: turpināsies vilcienu kustības vadības un signalizācijas sistēmu programmatūras izstrādes un programmēšanas darbi par atlikušo summu 400 400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ir atzīmēt, ka  ANM plānā noteiktais mērķis – "100 km pasažieru pārvadājumiem paredzētu dzelzceļa līniju modernizācija" – tiks sasniegts noteiktajā termiņā un nav tieši atkarīgs no MPC līguma īstenošanas. Investīcijas rādītāja izpilde notiek saskaņā ar plānoto laika grafiku.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Finanšu ministrija sadarbībā ar Satiksmes ministriju 2026.gada 17. jūnijā nosūtīja Eiropas Komisijai ierosinājumu par Atveseļošanas fonda 3. rādītāja darbības kārtības (Operational Arrangements) pārbaudes mehānisma (Verification mechanism) precizējumiem, kas sākotnēji paredzēja no pārbaudes mehānisma apraksta svītrot signalizācijas darbus kā saistītos darbus. Izvērtējot Satiksmes ministrijas un LDz sniegtos skaidrojumus un pamatojumus, ņemot vērā abpusēju izpratni un akceptu tam, ka vilcienu kustības vadības un signalizācijas sistēmu programmēšanas darbi tiks likumīgi turpināti un piegādāti pēc 2026. gada 31. augusta, atbilstoši Finanšu ministrijas 2026.gada 3. jūlijā sniegtajai informācijai Eiropas Komisija ir akceptējusi risinājumu  saglabāt esošo atsauci verifikācijas mehānismā bez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ir konsultējusies ar Aģentūru un radusi risinājumu, kas ļauj LDz pēc 2026. gada 31. augusta turpināt vilcienu kustības vadības un signalizācijas sistēmu programmatūras izstrādes un programmēšanas darbus.  Tas ir iespējams, veicot grozījumus Ministru kabineta noteikumos Nr. 190 un nosakot, ka līdz 2026. gada 30. oktobrim drīkst īstenot tikai tās darbības, kas neietekmē līdz 2026. gada 31. augustam sasniedzamā mērķa – "izveidoto elektrificēto dzelzceļa līniju un modernizēto esošo dzelzceļa līniju garums pasažieru pārvadāšanai – 100 km" – sasniegšanu. Vienlaikus tiek noteikts, ka LDz līdz 2026. gada 4. novembrim Vadības informācijas sistēmā iesniedz dokumentāciju, kas apliecina programmatūras izstrādes un programmēšanas darbu izmaksu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noteikumu Nr.190 grozījumu stāšanās spēkā LDz var ierosināt grozījumus 2024. gada 28. februāra līgumā par projekta Nr. 1.1.1.1.i.2/1/23/I/CFLA/001 "Dzelzceļa elektrificētā tīkla modernizācija un attīstība" īstenošanu, ko LDz noslēdzis ar Aģentūru.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Iesniedzot ierosinājumu, LDz sniegs detalizētu skaidrojumu par apstākļiem, kas kavē MPC līguma pabeigšanu līdz 2026. gada 31. augustam, un aicinās Aģentūru pagarināt MPC līguma izpildes termiņu līdz 2026. gada 30. oktobrim. Pēc apstākļu izvērtēšanas Aģentūra informēs LDz par saskaņojumu līguma grozījumiem, tādējādi nodrošinot projektā veikto investīciju atbilstību Atveseļošanas fonda finansējuma saņemšanas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grozījumi atbilst Eiropas Parlamenta un Padomes 2021. gada 12. februāra Regulai (ES) 2021/241, ar ko izveido Atveseļošanas un noturības mehānismu. Atsevišķu darbību īstenošanas termiņa pagarinājums līdz 2026. gada 30.oktobrim neietekmē maksājuma pieprasījuma iesniegšanu Eiropas Komisijai. Sagatavotie grozījumi ir saskaņoti ar Aģentūru un Finanšu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projektā un LDz un CFLA noslēgtajā līgumā par projekta īstenošanu netiek veikti grozījumi, LDz pēc 2026. gada 31. augusta no saviem līdzekļiem būs jānodrošina vilcienu kustības vadības un signalizācijas sistēmu programmatūras izstrāde un programmēšana par atlikušo summu 400 400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AF finansējuma zaudēšanas risku un nodrošinātu iespēju LDz veikt atsevišķu darbību maksājumus pēc 2026. gada 31. augusta, ir nepieciešams precizēt MK noteikumus Nr. 190.  Grozījumi paredz atļaut MPC līguma izpildi pēc minētā datuma, savukārt pārējām darbībām saglabāt līdzšinējo īstenošanas termiņu — 2026. gada 31. augustu.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iekļauti jauni punkti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6.</w:t>
      </w:r>
      <w:r w:rsidR="00000000" w:rsidRPr="00000000" w:rsidDel="00000000">
        <w:rPr>
          <w:vertAlign w:val="superscript"/>
          <w:rtl w:val="0"/>
        </w:rPr>
        <w:t xml:space="preserve">2</w:t>
      </w:r>
      <w:r w:rsidR="00000000" w:rsidRPr="00000000" w:rsidDel="00000000">
        <w:rPr>
          <w:rtl w:val="0"/>
        </w:rPr>
        <w:t xml:space="preserve"> Investīcijas pirmās projektu iesniegumu atlases kārtas izdevumu attiecināmība darbībām, kuras neietekmē šo noteikumu 4.1. apakšpunktā noteiktā rādītāja sasniegšanu, ir 2026.gada 30.oktobris;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31.</w:t>
      </w:r>
      <w:r w:rsidR="00000000" w:rsidRPr="00000000" w:rsidDel="00000000">
        <w:rPr>
          <w:vertAlign w:val="superscript"/>
          <w:rtl w:val="0"/>
        </w:rPr>
        <w:t xml:space="preserve">1</w:t>
      </w:r>
      <w:r w:rsidR="00000000" w:rsidRPr="00000000" w:rsidDel="00000000">
        <w:rPr>
          <w:rtl w:val="0"/>
        </w:rPr>
        <w:t xml:space="preserve"> Finansējuma saņēmējs pirmās  projektu iesniegumu atlases kārtas ietvaros var lūgt aģentūru, pamatojot objektīvu nepieciešamību, pagarināt projekta īstenošanas termiņu konkrētām darbībām, kas nav saistītas ar projekta mērķa sasniegšanu, bet ne ilgāk kā līdz 2026. gada 30.oktobrim, ievērojot šo noteikumu 6</w:t>
      </w:r>
      <w:r w:rsidR="00000000" w:rsidRPr="00000000" w:rsidDel="00000000">
        <w:rPr>
          <w:vertAlign w:val="superscript"/>
          <w:rtl w:val="0"/>
        </w:rPr>
        <w:t xml:space="preserve">.2 </w:t>
      </w:r>
      <w:r w:rsidR="00000000" w:rsidRPr="00000000" w:rsidDel="00000000">
        <w:rPr>
          <w:rtl w:val="0"/>
        </w:rPr>
        <w:t xml:space="preserve">punktā noteiktos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33.</w:t>
      </w:r>
      <w:r w:rsidR="00000000" w:rsidRPr="00000000" w:rsidDel="00000000">
        <w:rPr>
          <w:vertAlign w:val="superscript"/>
          <w:rtl w:val="0"/>
        </w:rPr>
        <w:t xml:space="preserve">3</w:t>
      </w:r>
      <w:r w:rsidR="00000000" w:rsidRPr="00000000" w:rsidDel="00000000">
        <w:rPr>
          <w:rtl w:val="0"/>
        </w:rPr>
        <w:t xml:space="preserve"> Finansējuma saņēmējs pirmās atlases kārtas ietvaros par darbībām, kas nav saistītas ar projekta mērķa sasniegšanu, līdz 2026. gada 4.novembrim iesniedz Vadības informācijas sistēmā dokumentāciju, kas apliecina izmaksu pamatotību (izpildes, pieņemšanas-nodošanas aktus, rēķinus un citus veiktos maksājumu apliecinošos dokumentus) pabeigtajām darbībām. Noslēguma progresa pārskatā iekļauj izdevumus, kas radušies līdz projekta izdevumu attiecināmības perioda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precizēts šo noteikumu 33.1.apakšpunkts, nosakot, ka finansējuma saņēmējs 2026. gada 4. septembrim iesniedz ne tikai apliecinājumu, bet arī pamatojošos dokumentus par izbūvētās un pārbūvētās dzelzceļa infrastruktūras nodošanu ekspluatācijā un investīcijas projekta mērķu un rādītāju sasniegšanu.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Nr.639 "Sabiedrības līdzdalības kārtība attīstības plānošanas procesā" 4. punktam institūcija īsteno sabiedrības līdzdalību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neatbilst minētajiem kritērijiem un noteikumu projekts attiecas uz Atveseļošanas fonda investīcijas īstenošanā iesaistītajām institūcijām, sabiedrības līdzdalības kārtība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izstrādē iesaistītās institūcijas - Satiksmes ministrija un VAS "Latvijas dzelzceļš".</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VAS "Latvijas dzelzceļš"</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26-TA-1485</w:t>
    </w:r>
    <w:r>
      <w:br/>
    </w:r>
    <w:r w:rsidR="00000000" w:rsidRPr="00000000" w:rsidDel="00000000">
      <w:rPr>
        <w:rtl w:val="0"/>
      </w:rPr>
      <w:t xml:space="preserve">Izdrukāts 10.08.2026. 10.40 - 3.0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26-TA-1485</w:t>
    </w:r>
    <w:r>
      <w:br/>
    </w:r>
    <w:r w:rsidR="00000000" w:rsidRPr="00000000" w:rsidDel="00000000">
      <w:rPr>
        <w:rtl w:val="0"/>
      </w:rPr>
      <w:t xml:space="preserve">Izdrukāts 10.08.2026. 10.40 - 3.0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anotācija_(ex_ante)_26-TA-1485.docx</dc:title>
</cp:coreProperties>
</file>

<file path=docProps/custom.xml><?xml version="1.0" encoding="utf-8"?>
<Properties xmlns="http://schemas.openxmlformats.org/officeDocument/2006/custom-properties" xmlns:vt="http://schemas.openxmlformats.org/officeDocument/2006/docPropsVTypes"/>
</file>