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noteikumu projekts) ir izstrādāts saskaņā ar jaunās de minimis regulas pārizdošanu, kā arī viedās specializācijas stratēģijas jomās (turpmāk - RIS3) atsevišķu rādītāju uzskaites iekļaušanu atbalsta programmas ietvaros, kā arī atbalsta saņēmēja loka paplašināšanu.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noteikt RIS3 rādītājus, kā arī pārņemt jaunās de minimis regulas nosacījumus un paplašināt atbalsta saņēmēju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2023. gada 13. jūlijā apstiprināja Ministru kabineta noteikumus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noteikumi Nr. 407), kuru mērķis ir nodrošināt finansējuma pieejamību biznesa idejas īstenošanai un uzņēmējdarbības attīstībai Latvijā, veicinot aktivitātes, kas paaugstina inovatīvo komersantu īpatsvaru ekonomikā un sekmē uzņēmējdarbību, kas vērsta uz augstu pievienoto vērtību radīšanu vidēji augsto un augsto tehnoloģiju un radošo industriju jomā, kā arī veicina eksporta pieaugumu atbalstītajos uzņēmumos, tādējādi sniedzot ieguldījumu Latvijas viedās specializācijas stratēģijas mērķu sasniegšanā. Atbalsta programma paredz veicināt jaunu tehnoloģiski intensīvu uzņēmumu rašanos, nodrošināt jaunradītu tehnoloģiski intensīvu un radošo industriju uzņēmumu inkubāciju, akcentējot P&amp;A&amp;I komponenti, kā arī nodrošināt uz inovācijām un zināšanām balstītu eksportspējīgu produktu un pakalpojumu radīšanu, un nodrošināt piekļuvi ārvalstu tirgiem. Atbalsts pieejams biznesa ideju autoriem, fiziskām personām, sīkiem (mikro), maziem un vidējiem komersantiem (turpmāk - MVU), kā arī biedrībām. Atbalsta programmas ietvaros plānots, ka kopumā tiks atbalstīti 1500 uzņēmumi, kas attīsta savus biznesa projektus, no kuriem vismaz 300 būs jaunu ideju autori. Tāpat tiktu atbalstīti 700 eksportējošo uzņēmumi, izveidotas 1000 jaunas darba vietas un tādējādi pasākuma ietvaros varētu tikt nodrošināts, ka atbalstītie komersanti ik gadu nodokļos nomaksās 150 milj. euro.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2024. gada 1. janvāri ir stājusies spēkā Komisijas 2023. gada 13. decembra Regula (ES) Nr. 2023/2831 par Līguma par Eiropas Savienības darbību 107. un 108. panta piemērošanu de minimis atbalstam (turpmāk – Komisijas Regula Nr. 2023/2831), ir nepieciešams precizēt de minimis nosacījumus. Lai atbildīgā iestāde varētu veikt RIS3 datu monitoringu, kā arī iegūt analītiku par atbalstītajiem komersantiem katrā no RIS3 jomām, ir nepieciešams uzkrāt RIS3 rādītājus pa gala labuma guvēja statusiem, kā arī norādot to reģistrācijas numuru. Vienlaikus, lai atbalsts būtu pieejams plašākam atbalsta saņēmēja lokam, nepieciešams nodrošināt atbalstu arī kooperatīvām sabiedrībām, zemnieku vai zvejnieku saimniecībām.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MK noteikumu projektu tiek veikti šādi precizējumi: </w:t>
      </w:r>
      <w:r w:rsidR="00000000" w:rsidRPr="00000000" w:rsidDel="00000000">
        <w:rPr>
          <w:b w:val="1"/>
          <w:rtl w:val="0"/>
        </w:rPr>
        <w:t xml:space="preserve">1. Jaunās de minimis regulas nosacījumu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de minimis atbalstam (Eiropas Savienības Oficiālais Vēstnesis, 2013. gada 24. decembris, Nr. L 352/1) (turpmāk – Komisijas Regula Nr. 1407/2013) ar 2023. gada 31. decembri izbeidz savu darbību un ar 2024. gada 1. janvāri stājas spēkā Komisijas Regula Nr. 2023/2831. Lai nodrošinātu atbalsta piešķiršanu atbilstoši spēkā esošiem de minimis nosacījumiem, ar MK noteikumu projektu tiek veikti precizējumi. Pēc būtības atbalsta programmas ietvaros de minimis atbalsta piešķiršanas nosacījumi nemainās, galvenās izmaiņas skar de minimis atbalsta kopsummu, kas saskaņā ar Komisijas Regulas Nr. 2023/2831 3.panta otro daļu var sasniegt 300 000 euro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de minimis atbalsta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RIS 3 rādītāju uzkrāšana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atbildīgā iestāde varētu veikt RIS3 monitoringu, ar grozījumiem tiek iekļauti rādītāji, kas Finansējuma saņēmējam jāuzkrāj Kohēzijas politikas fondu vadības informācijas sistēmā vismaz 2 reizes gadā kopā ar maksājuma pieprasījumu vai pēc atbildīgās iestādes pieprasījuma 10 darbdienu laikā jāiesniedz atbildīgajai iestādei informāciju, norādot gala labuma guvēju reģistrācijas numuru.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katrā no RIS3 jomām sadalījumā pa gala labuma guvēju veidiem jāuzkrāj šādi RIS3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ārējie izdevumi pētniecības darbiem, kas pasūtīti citās iestādēs, uzņēmumos, organizācijās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pētniecības un attīstības izdevumu apjoms – publiskais finansējums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kapitālizdevumi – iekārtas, intelektuālā īpašuma tiesības, datoru programmatūra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 attīstības izdevumu apjoms – privātās investīcijas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rūpnieciskie (lietišķie) pētījumi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rūpnieciski ekonomiskā priekšizpēte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darbaspēka izmaksas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jaunradītās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jaunradītie produkti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komersantu skaits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patents un patentu pieteikumi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reģistrēts dizainparaugs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pusvadītāja izstrādājums vai tā pieteikums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 preču zīme (ieskaitot kolektīvās zīmes) un sertifikācijas zīme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fundamentālie pētījumi (pētniecības un attīstības izdevumu apjoms,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Atbalsta saņēmēju loka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plašāku atbalsta saņēmēju loku,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noteikts, ka atbalstu eksporta veicināšanai var saņemt arī Latvijas Republikas Uzņēmumu reģistrā reģistrētas kooperatīvās sabiedrības, kurās apvienojušās vismaz trīs komercsabiedrības, (neattiecas uz dzīvokļu īpašnieku kooperatīvajām sabiedrībām, automašīnu garāžu īpašnieku kooperatīvajām sabiedrībām, laivu garāžu īpašnieku kooperatīvajām sabiedrībām un dārzkopības kooperatīvajām sabiedrībām), zemnieku vai zvejnieku saimniecībām līdzīgi kā tas bija Ministru kabineta 2015. gada 1. decembra noteikumos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ka turpmāk atbalstu var saņemt komersanti, kas darbojas finanšu starpniecības nozarē – finanšu tehnoloģiju uzņēmumi jeb tādi uzņēmumi, kas attīsta jaunus biznesa modeļus, iedzīvina inovācijas, veido jaunus finanšu produktus un pakalpojumus, pilnveido pakalpojumu sniegšanas veidus un biznesa modeļus (tiek precizēts Mk Noteikumu Nr. 407. 2.pielikums).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Biznesa inkubācijas komersantu vērtēšanas komisijas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kvalitatīvāku un objektīvāku biznesa inkubācijas pretendentu vērtēšanas komisijas sastāvu, un ņemot vērā, ka ne visās reģionu pilsētās tuvumā atrodas kādas komersantu pārstāvošās organizācijas nodaļa, vērtēšanas komisijas sastāvā tiek noteikts, ka komersantu organizācijas pārstāvi var nomainīt vai papildināt ar finanšu institūcijas pārstāvi un uzņēmumu pārstāvi. Vienlaikus komisijā saglabājas pārstāvniecība no finansējuma saņēmēja, pašvaldības, augstskolas un atbildīgās iestādes ar vienu balsti no katras organizācijas. Tāpat tiek noteikts, ka vērtēšanas komisijas atzinumam ir konsultatīvs rakstus. Gala lēmumu par atbalsta piešķiršanu pieņem finansējuma saņēmējs, izvērtējot vērtēšanas komisijas atzinumu.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Atbalstāmās darbības papildināšana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to, ka vadības informācijas sistēmā finansējuma saņēmējam nav darbības par finanšu atbalsta nodrošināšanu (lai varētu savienot darbības ar izmaksām), tiek pievienota papildus darbība - finanšu atbalsta nodrošināšana biznesa inkubācijas un eksporta veicināšanas aktivitātē.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Tehniskie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normas interpretācijas riska novēršanai MK noteikumu Nr. 407 21. punktā svītrojot vārdu "atlīdzības";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Kohēzijas politikas fondu vadības informācijas sistēmas saīsinājumu "vadības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normas interpretācijas riska novēršanai MK noteikumu Nr. 407. 25.16. apakšpunktā nosakot, finansējuma saņēmējs nodrošina darbību tikai 45.11. apakšpunktā aktivitātei (tirdzniecības misijas un ārvalstu vizītes);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precizēts MK noteikumu Nr. 407  45.5. apakšpunkts ar konkrēto vizuālo materiālu izmaksām - bukleti, baneri vai videoklipi;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normas interpretācijas riska novēršanai MK noteikumu Nr.407 39.5. apakšpunktā tiek noteikts, ka atbalsts algu grantam </w:t>
      </w:r>
      <w:r w:rsidR="00000000" w:rsidRPr="00000000" w:rsidDel="00000000">
        <w:rPr>
          <w:u w:val="single"/>
          <w:rtl w:val="0"/>
        </w:rPr>
        <w:t xml:space="preserve">pieejams</w:t>
      </w:r>
      <w:r w:rsidR="00000000" w:rsidRPr="00000000" w:rsidDel="00000000">
        <w:rPr>
          <w:rtl w:val="0"/>
        </w:rPr>
        <w:t xml:space="preserve"> tikai inovatīvam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tiek vienā punktā noteikts, kas ir gala labuma guvējs, attiecīgi pārējie punkti, kur atkārtojas definīcija, tiek svītroti.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spēkā stāšanās, Finansējuma saņēmējam būs jāgroza projekta atlasē apstiprinātā projekta stratēģija, tāpat nepieciešami grozījumi gan projekta iesniegumā, gan vienošanās par projekta īstenošanu. Ekonomikas ministrija ir informējusi Finansējuma saņēmēju par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neetekmēs gala labuma guvējus eksporta veicināšanas aktivitātē, kuri būs pieteikušies līdz MK noteikumu projekta spēkā stāšanās. MK noteikumu projekts ietekmēs tikai jaunus gala labuma guvēju pieteikumus.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saņēmējs pēc MK noteikumu projektu spēkā stāšanās informēs gala labuma guvējus par veiktajām izmaiņām MK noteikumos Nr. 407 un atbalsta pretendentu loka paplašināšanu eksporta aktivitātēs.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Biznesa inkubācijas aktivitātes un un inovāciju motivācijas aktivitātes gala labuma guvējiem nav ietekmes uz MK noteikumu projektu, jo gala labuma guvēju atlase/uzsaukums vēl nav sācies.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tiešā veidā ietekmēs gala labuma guvējus, jo tiem būs jāatzīmē pie progresa pārskatiem noteiktie RIS3 rādītāji (skaits, apjoms, EUR), lai finansējuma saņēmējs tos varētu apkopot un iesniegt vadības informācijas sistēmā. Kā arī tiek papildināts atbalsta saņēmēju loks ar kooperatīvajām sabiedrībām, zemnieku vai zvejnieku saimniecībām.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pieejams biznesa ideju autoriem, fiziskām personām, MVU, kā arī biedrībām. Atbalsta programmas ietvaros plānots, ka kopumā tiks atbalstīti 1500 uzņēmumi, kas attīsta savus biznesa projektus, no kuriem vismaz 300 būs jaunu ideju autori. Tāpat tiktu atbalstīti 700 eksportējošo uzņēmumi, izveidotas 1000 jaunas darba vietas un tādējādi pasākuma ietvaros varētu tikt nodrošināts, ka atbalstītie komersanti ik gadu nodokļos nomaksās 150 milj. EUR. Uz MK noteikumu projekta izstrādes brīdi nav vēl datu par apguvi, jo ir uzsākta projektu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uzņēmēju konkurētspēju, īpaši, ja tie darbojas un/vai attīsta produktus un pakalpojumus kādā no RIS3 specializācijas jomām. Kā aktīvi šī atbalsta ieviesēji ir komersanti, kas pārstāv medicīnas un veselības zinātnes nozari, inženierzinātnes un tehnoloģijas, elektrotehnikas, elektronikas, informācijas tehnoloģijas nozari, apstrādes rūpniecību. Ja gala labuma guvēji varēs pierādīt darba spēka produktivitātes pieaugumu, tad tas sniegs ieguldījumu Latvijas tautsaimniecības attīstības produktivitātes rādītāju sasniegšanai atbilstoši Nacionālās industriālās politikas pamatnostādnēm 2021. -2027.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papildināts atbalsta saņēmēju loks ar kooperatīvajām sabiedrībām un zemnieku vai zvejnieku saimniecībām.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pieejams biznesa ideju autoriem, fiziskām personām, MVU, kā arī biedrībām. Atbalsta programmas ietvaros plānots, ka kopumā tiks atbalstīti 1500 uzņēmumi, kas attīsta savus biznesa projektus, no kuriem vismaz 300 būs jaunu ideju autori. Tāpat tiktu atbalstīti 700 eksportējošo uzņēmumi, izveidotas 1000 jaunas darba vietas un tādējādi pasākuma ietvaros varētu tikt nodrošināts, ka atbalstītie komersanti ik gadu nodokļos nomaksās 150 milj. EUR. Uz MK noteikumu projekta izstrādes brīdi nav vēl datu par apguvi, jo ir uzsākta projektu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tiešā veidā ietekmēs gala labuma guvējus, jo tiem būs jāatzīmē pie progresa pārskatiem noteiktie RIS3 rādītāji (skaits, apjoms, EUR), lai finansējuma saņēmējs tos varētu apkopot un iesniegt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atbalsta programmā paredzētajām administratīvajām procedūrām, komersantiem būs nepieciešams iesniegt informāciju pie progresa pārskata par sasniegtajiem RIS3 rādītājiem.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papildināts atbalsta saņēmēju loks ar kooperatīvajām sabiedrībām un zemnieku vai zvejnieku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dokumentu sagatavošanai gala labuma guvējiem aptuveni var būt nepieciešamas aptuveni 1h jeb saskaņā ar valstī vidējo atalgojumu 1h veido 26,78 EUR, kas nozīmē, ka gala labuma guvēja darbiniekam dokumentu sagatavošanai monetārās izmaksas gada laikā nav lielākas kā 53,56 EUR.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61 701,12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20 567,04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gala labuma guvējiem aptuveni var būt nepieciešamas aptuveni 8h jeb saskaņā ar valstī vidējo atalgojumu 1h veido 26,78 euro, kas nozīmē, ka gala labuma guvēja darbiniekam dokumentu sagatavošanai monetārās izmaksas nav lielākas kā 53,56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Investīciju un attīstības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41 134,08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Minēto dokumentu sagatavošanai gala labuma guvējiem aptuveni var būt nepieciešamas aptuveni 8h jeb saskaņā ar valstī vidējo atalgojumu 1h veido 26,78 euro, kas nozīmē, ka gala labuma guvēja darbiniekam dokumentu sagatavošanai monetārās izmaksas nav lielākas kā 107,12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61 701,12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13. decembra Regulas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13. decembra Regulas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tiek precizētas atsauces uz jauno (pārizdoto) de minimis regulu.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vēl nav zināmi.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23-TA-3321</w:t>
    </w:r>
    <w:r>
      <w:br/>
    </w:r>
    <w:r w:rsidR="00000000" w:rsidRPr="00000000" w:rsidDel="00000000">
      <w:rPr>
        <w:rtl w:val="0"/>
      </w:rPr>
      <w:t xml:space="preserve">Izdrukāts 29.07.2026. 23.26 - 1.0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23-TA-3321</w:t>
    </w:r>
    <w:r>
      <w:br/>
    </w:r>
    <w:r w:rsidR="00000000" w:rsidRPr="00000000" w:rsidDel="00000000">
      <w:rPr>
        <w:rtl w:val="0"/>
      </w:rPr>
      <w:t xml:space="preserve">Izdrukāts 29.07.2026. 23.26 - 1.0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anotācija_(ex_ante)_23-TA-3321.docx</dc:title>
</cp:coreProperties>
</file>

<file path=docProps/custom.xml><?xml version="1.0" encoding="utf-8"?>
<Properties xmlns="http://schemas.openxmlformats.org/officeDocument/2006/custom-properties" xmlns:vt="http://schemas.openxmlformats.org/officeDocument/2006/docPropsVTypes"/>
</file>