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(turpmāk – Noteikumu projekts) ir  Labklājības ministrijas (turpmāk – LM) iniciatīva un Noteikumu projekts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4.3.3.6. pasākuma "Nodarbinātības valsts aģentūras veiktspējas stiprināšana un pakalpojumu modernizēšana" īstenošanas noteikumi" (turpmāk – 4.3.3.6. pasākums) mērķa sasniegšanu, tā nodrošināšanai precizējot atsevišķu atbalstāmo darbību saturu un paredzot vienkāršākus projekta personāla izmaksu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4.3.3.6 pasākuma īstenošanu reglamentē Ministru kabineta (turpmāk – MK) 2023. gada 5. decembra noteikumi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(turpmāk – MK noteikumi Nr. 723). Saskaņā ar minēto MK noteikumu Nr. 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13.5. apakšpunktu viena no 4.3.3.6. pasākuma atbalstāmajām darbībām ir aktīvo nodarbinātības un preventīvo bezdarba samazināšanas pasākumu (turpmāk – aktīvās darba tirgus politikas pasākumi) monitoringa un ietekmes novērtējuma veikšana, īstermiņa darba tirgus prognozēšanas sistēmas un prognožu atspoguļošanas platformas pilnveide un prognožu veikšana. Atbilstoši 23. punkts un tā 23.1. un 23.2. apakšpunkts noteic, ka NVA projekta personāls un tā izvēlēts pakalpojuma sniedzējs izstrādā aktīvās darba tirgus politikas pasākumu novērtējuma metodiku (23.1. apakšpunkts) un veic aptaujas un ietekmes novērtējumu par aktīvās darba tirgus politikas pasākumiem, tai skaitā atbilstoši 23.1. apakšpunktā minētajai metodikai (23.2.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15.1. apakšpunktu 4.3.3.6. pasākuma projekta tiešās attiecināmās izmaksas ir projekta vadības un īstenošanas personāla izmaksas, savukārt 27.1. apakšpunkts nosaka projekta personāla piesaistes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19.1. apakšpunktu 4.3.3.6. pasākuma ietvaros ir paredzēta  bezdarbnieku un darba meklētāju profilēšanas sistēmas pilnveide, integrējot bezdarbnieku uzskaites un reģistrēto vakanču informācijas sistēmā (turpmāk – BURVIS);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27.4. apakšpunktu finansējuma saņēmējam – Nodarbinātības valsts aģentūrai (turpmāk – NVA) ir pienākums, piesaistot projekta atbalstāmo darbību veikšanai nepieciešamo personālu vai īstenojot iepirkumus, nodrošināt, ka projekta īstenošanas laikā tiek ievēroti interešu konflikta, korupcijas un krāpšanas novēršanas nosacījumi, vismaz paredzot, ka projekta vadībā un īstenošanā iesaistītais personāls un iepirkumu līgumu izpildītāji ir informēti par korupcijas un interešu konflikta novēršanas jautājumiem un krāpšanas pazīmēm, pienākumu ziņot par konstatētajām aizdomām, kā arī ir informēti par ziņotāju aizsardzību atbilstoši Trauksmes celšanas likumam, kā arī parakstījuši apliecinājumus par interešu konflikta neesību saskaņā ar Eiropas Parlamenta un Padomes 2024. gada 23. septembra Regulas (ES, Euratom) 2024/2509 par finanšu noteikumiem, ko piemēro Savienības vispārējam budžetam (pārstrādāta redakcija) (turpmāk – regula Nr. 2024/2509) 61. pantu un publisko iepirkumu regulējošajiem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Īstenojot MK noteikumu Nr. 723 13.5. apakšpunktā noteikto atbalstāmo darbību, tika vērtēta arī aktīvo nodarbinātības un preventīvo bezdarba samazināšanas pasākumu monitoringa un ietekmes novērtējuma veikšanas, tai skaitā aktīvās darba tirgus politikas pasākumu novērtēšanas metodikas izstrādes, kā arī aptauju veikšanas un ietekmes novērtēšanas, īstenošanas aktualitāte. Sadarbībā ar LM kā par darba tirgus politiku atbildīgo nozares ministriju secināts, ka sākotnēji plānotā metodikas izstrāde un atsevišķu ietekmes novērtējumu veikšana vairs nav optimālākais risinājums, jo tā balstās uz fragmentāriem un laika ziņā ierobežotiem datiem, nenodrošina operatīvu informāciju lēmumu pieņemšanā, dublē funkcionalitāti, kas tiks nodrošināta jaunajā datu analītikas risinājumā BURVIS pilnveides ietvaros. Attiecīgi lietderīgāk un efektīvāk ir pilnveidot pieeju pakalpojumu ietekmes un efektivitātes novērtēšanai, pārejot no atsevišķiem, periodiskiem pētījumiem uz sistēmisku, datos balstītu un nepārtrauktu analītikas pieeju. Pilnveidotā pieeja paredz ciešu sasaisti ar personas un pakalpojumu datu apstrādi BURVIS (jauns datu analītikas risinājums), nodrošinot centralizētu datu uzkrāšanu un izmantošanu analīzes veikšanai. Tāpēc MK noteikumu Nr. 723 13.5. apakšpunktā paredzētais par aktīvās darba tirgus politikas pasākumu monitoringa un ietekmes novērtējuma veikšanu ir zaudējis aktualitāti un ir svītrojams. Atbilstoši svītrojams arī 23.1. un 23.2.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Ievērojamu laika un cilvēkresursu apjomu NVA velta administratīvajām rīcībām informācijas sagatavošanai maksājumu pieprasījumu iesniegšanai Kohēzijas politikas fondu vadības informācijas sistēmā. Lai vienkāršotu NVA personāla faktisko izmaksu pamatojošās dokumentācijas apkopošanu un iesniegšanu maksājumu pieprasījumos, LM sadarbībā ar NVA veica izvērtējumu un secināja, ka projekta personāla izmaksām var piemērot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punktā noteikto vienoto personāla likmi 20 procentu apmērā no MK noteikumu Nr. 723 14.1. apakšpunktā minētajām pārējām tiešajām attiecināmajām izmaksām, kas nav personāla izmaksas. Līdz ar to ir veicami grozījumi MK noteikumu Nr. 723 15.1. apakšpunktā un 27.1.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723 19.1. apakšpunktā ir norāde par to, ka profilēšanas sistēma ir paredzēta bezdarbniekiem un darba meklētājiem, taču atbilstoši Bezdarbnieku un darba meklētāju atbalsta likumam 6. panta otrās daļas 3. punktā noteiktajam, profilēšanu veic bezdarbniekiem. Attiecīgi 19.1. apakšpunktā nepieciešams svītrot vārdus, ka profilēšanas sistēma ir attiecināma uz darba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interešu konflikta, korupcijas un krāpšanas novēršanas nosacījumiem MK noteikumos Nr. 723 noteiktā prasība – ievērot konflikta, korupcijas un krāpšanas novēršanas nosacījumus – ir attiecināma uz NVA piesaistīto personālu, ne uz iepirkumu līgumu izpildītājiem (proti, tā saskaņā ar normatīvajiem aktiem publisko iepirkumu jomā nav saistoša). Tāpēc ir nepieciešams redakcionāli precizēt MK noteikumu Nr. 723 27.4. apakšpunktu, svītrojot pienākumu šo prasību ievērot iepirkumu līgumu izpildītajiem. Tāpat  arī nepieciešams salāgot interešu konflikta, korupcijas un krāpšanas novēršanas nosacījumus ar citos nozares normatīvajos aktos ietvertajām redakcijām, tās norādot atbilstoši aktualizētajām Finanšu ministrijas vadlīnijām Nr.1.4. "Vadlīnijas Ministru kabineta noteikumu par specifiskā atbalsta mērķa īstenošanu izstrādei Eiropas Savienības fondu 2021.—2027. gada plānošanas periodā", ietverot norādi uz regulas Nr. 2024/2509 61. pantu. Nosacījumu izmaiņas nemainīs līdzšinēji  NVA noteiktos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projekts paredz veikt šādus precizējumus MK noteikumos Nr. 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13.5. apakšpunkta redakciju, no tās svītrojot norādi par aktīvās darba tirgus politikas pasākumu monitoringa un ietekmes novērtējuma veikšanu. Attiecīgi svītroti arī 23.1. un 23.2. apakšpunkti. Labklājības ministrija ir sagatavojusi un 2026. gada 9. septembrī iesniegusi Finanšu ministrijā arī attiecīgus Eiropas Savienības kohēzijas politikas programmas 2021.–2027. gadam grozījumus, svītrojot sākotnējo paredzētos aktīvās darba tirgus politikas pasākumu monitoringa un ietekmes novērtējumus. Minētās atbalstāmās darbības svītrošana neietekmē 4.3.3.6. pasākuma mērķa un uzraudzības rādītāju sasniegšanu. Šim mērķim sākotnēji plānotais finansējums tiks pārdalīts MK noteikumu 13.4. apakšpunktā minētajai atbalstāmajai darbībai – BURVIS pilnveidei, esošo ieplānoto uzlabojumu un izmaiņu veikšanai BURVIS (ir paredzēts atvieglot informācijas meklēšanu par vakancēm, profesijām un turpmāko karjeras attīstību, ieviest mikrodatu analītiskus risinājumus, kas palīdzētu meklēt un reāllaikā piedāvāt klientiem aktuālo informāciju par darba tirgu (tai skaitā pieprasītajām prasmēm un algām); uzlabot darba devēju un darba meklētāju savienošanas iespējas; digitalizēt NVA pakalpojumus, lai pieteikšanās procedūra atbalsta saņemšanai būtu ātrāka un ērtāka, ieviest mākslīgā intelekta risinājumus darbam ar klientiem un automatizēt esošus procesus atbalsta sniegšanā dažādām mērķa grupām, uzlabot datu izmantošanu un analītiku, palielināt IT sistēmas drošību un apstrādājamo datu kvalitāti, kā arī veikt citas darbības). BURVIS sistēma izstrādāta pirms vairāk nekā 20 gadiem kā uzskaites sistēma, taču laika gaitā tā ir evolucionējusi par biznesa procesu vadības sistēmu. Daudzi procesi tajā ir novecojuši un uzskaites sistēma ir sadrumstalota, jo esošā sistēmas loģika paredz arī manuālus soļus, kas būtiski palielina administratīvo slogu, pagarina pakalpojumu sniegšanu un ierobežo iespēju vairāk resursu novirzīt darbam un sarunai ar klientu un sadarbībai ar darba devējiem. Savlaicīga BURVIS modernizācija ļaus ne tikai saglabāt valsts informācijas sistēmas darbspēju un drošību ilgtermiņā, bet arī nodrošinās efektīvākus, personalizētākus un pieejamākus pakalpojumus iedzīvotājiem, vienlaikus veicinot darba tirgus attīstību un produktīvāku publisko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2028. gadam plānots izstrādāt BURVIS publisko portālu Karjera, kas veido jaunu digitālo piekļuves vidi NVA pakalpojumiem, vienlaikus pilnveidojot BURVIS kā datu krātuvi un nodrošināt tās drošību un attīstot datu analītiku, tai skaitā daudz efektīvāk sasaistot NVA valsts informācijas sistēmu ar citām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15.1. apakšpunktu, nosakot, ka projekta vadības un īstenošanas personāla izmaksām piemēro vienoto likmi 20 procentu apmērā no  pārējām tiešajām attiecināmajām izmaksām, kas nav personāla izmaksas. Minētās likmes piemērošana plānota no 2026. gada 1. oktobra, tāpēc MK noteikumi Nr. 723 grozījumu projekta 2. punktā ir noteikts, ka attiecīgo punktu (15.1. un 27.1. apakšpunkta) redakcijas stājas spēkā un vienoto likmi piemēro no 2026. gada 1. oktobra. Atbilstoši no projekta sākuma (2023. gada 1. februāra) līdz 2026. gada 30. septembrim personāla izmaksām tiks piemērotas faktiskās izmaksas. Vienotās likmes apmērs aprēķināts no tiešajām izmaksām, kas radīsies no 2026. gada 1. oktobra. Tā kā vienotās likmes piemērošanā nav jānosaka personāla piesaistes nosacījumi, attiecīgi svītrojams ir MK noteikumu Nr. 723 27.1.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personāla izmaksas no 2026. gada 1. oktobra ir plānotas 936 113,18 </w:t>
      </w:r>
      <w:r w:rsidR="00000000" w:rsidRPr="00000000" w:rsidDel="00000000">
        <w:rPr>
          <w:i w:val="1"/>
          <w:rtl w:val="0"/>
        </w:rPr>
        <w:t xml:space="preserve">euro</w:t>
      </w:r>
      <w:r w:rsidR="00000000" w:rsidRPr="00000000" w:rsidDel="00000000">
        <w:rPr>
          <w:rtl w:val="0"/>
        </w:rPr>
        <w:t xml:space="preserve"> (ietver arī veselības apdrošināšanas izmaksas), kas ir 20 % no projekta tiešajām attiecināmajām izmaksām (4 680 565,90 </w:t>
      </w:r>
      <w:r w:rsidR="00000000" w:rsidRPr="00000000" w:rsidDel="00000000">
        <w:rPr>
          <w:i w:val="1"/>
          <w:rtl w:val="0"/>
        </w:rPr>
        <w:t xml:space="preserve">euro</w:t>
      </w:r>
      <w:r w:rsidR="00000000" w:rsidRPr="00000000" w:rsidDel="00000000">
        <w:rPr>
          <w:rtl w:val="0"/>
        </w:rPr>
        <w:t xml:space="preserve">), kas nav tiešās personāla izmaksas. Norādītās projekta personāla izmaksas ir nepieciešamas, lai nodrošinātu 4.3.3.6. pasākuma mērķa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veidojas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attiecināmās izmaksas – 7 994 821,33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 7 471 795,64 </w:t>
      </w:r>
      <w:r w:rsidR="00000000" w:rsidRPr="00000000" w:rsidDel="00000000">
        <w:rPr>
          <w:i w:val="1"/>
          <w:rtl w:val="0"/>
        </w:rPr>
        <w:t xml:space="preserve">euro</w:t>
      </w:r>
      <w:r w:rsidR="00000000" w:rsidRPr="00000000" w:rsidDel="00000000">
        <w:rPr>
          <w:rtl w:val="0"/>
        </w:rPr>
        <w:t xml:space="preserve"> (līdz 2026. gada 30. septembrim – 1 855 116,56 </w:t>
      </w:r>
      <w:r w:rsidR="00000000" w:rsidRPr="00000000" w:rsidDel="00000000">
        <w:rPr>
          <w:i w:val="1"/>
          <w:rtl w:val="0"/>
        </w:rPr>
        <w:t xml:space="preserve">euro</w:t>
      </w:r>
      <w:r w:rsidR="00000000" w:rsidRPr="00000000" w:rsidDel="00000000">
        <w:rPr>
          <w:rtl w:val="0"/>
        </w:rPr>
        <w:t xml:space="preserve">, no 2026. gada 1. oktobra – 5 616 679,08 </w:t>
      </w:r>
      <w:r w:rsidR="00000000" w:rsidRPr="00000000" w:rsidDel="00000000">
        <w:rPr>
          <w:i w:val="1"/>
          <w:rtl w:val="0"/>
        </w:rPr>
        <w:t xml:space="preserve">euro</w:t>
      </w:r>
      <w:r w:rsidR="00000000" w:rsidRPr="00000000" w:rsidDel="00000000">
        <w:rPr>
          <w:rtl w:val="0"/>
        </w:rPr>
        <w:t xml:space="preserve">), t.sk.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faktisko izmaksu pieejai līdz 2026. gada 30. septembrim – 470 166,69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vienotajai likmei no 2026. gada 1. oktobra – 936 113,18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attiecināmās izmaksas – 523 025,69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nodrošināšanu vienotās likmes ietvaros veiks projekta vadības personāls (indikatīvi 9 vadības personāla slodzes) un īstenošanas personāls (indikatīvi 2 īstenošanas personāla slodzes), kopā – 11 personāla slodzes. Noteikumu projektā ar vienu veselu slodzi saprot Darba likumā noteikto normālo darba laiku – 40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aprēķins balstīts uz šādiem pamatprincipiem, un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taisnīgs – likmes aprēķins balstās uz normatīvajiem aktiem par valsts un pašvaldību institūciju amatpersonu un darbinieku atlīdzību, pieņēmumiem par atlīdzības noteikšanas principiem projekta īstenošanas laikam (2026. gadā plānotas faktiskās 2026. gada atlīdzības izmaksas, nākamajos gados paredzot indeksāciju saskaņā ar Latvijas Bankas inflācijas prognozi, kas 2027. gadam ir 3.8 procenti, 2028. gadam – 3.4 procenti, bet 2029. gadā paredzēts vidējais procents no abu gadu summas – 3.6 % (informācijas avots - https://www.bank.lv/aktualitates-banklv/zinas-un-raksti/jaunumi/17717-makroekonomiskas-prognozes-2026-gada-junijs), projekta personāla plānojumu (amatu klasifikāciju, skaitu, mēnešalgas grupu) un plānoto noslodzi 4.3.3.6. pasākuma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objektīvs – 4.3.3.6. pasākuma projektā NVA personāla izmaksu aprēķins tiek balstīts uz vienādiem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pārbaudāms – likmes aprēķins balstās uz normatīvajiem aktiem par valsts un pašvaldību institūciju amatpersonu un darbinieku atlīdzību, NVA iekšējiem darba samaksas noteikumiem, pieņēmumiem par atlīdzības noteikšanas principiem projekta īstenošanas laikam (2026. gada atlīdzībām plānotas faktiskās atlīdzības, bet nākamajos gados – indeksācija  atbilstoši iepriekš minētajam), projekta personāla plānojumu (amatu klasifikācija, skaits, mēnešalgas grupa) un noslodzi 4.3.3.6. pasākuma projekta īstenošanā. Likmes aprēķins ir sagatavots Excel formātā, detalizēti norādot finansējuma saņēmēja projekta vadības un īstenošanas personālu, tā amata klasifikāciju, mēnešalgu grupu, plānoto atlīdzības apmēru. Likmes aprēķins ir pārbaudīts un nosūtīts FM. 2026. gada 9. septembrī no FM kā vadošās iestādes ir saņemts e-pasts par to, ka FM kā vadošā iestāde pieņem zināšanai LM sagatavotos aprēķinus. Par Noteikumu projektā ietverto likmes procentuālo apmēru un aprēķiniem nav saņemti papildu komentāri, līdz ar to ar FM kā vadošo iestādi ir saskaņots 4.3.3.6. pasākuma personāla likmes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noteikts – 4.3.3.6. pasākuma projekta īstenošanas likmes piemērošanas nosacījumi tiek noteikti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aprēķinu pamato šādi normatīvie akti un informācijas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amatpersonu un darbinieku atlīdzības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 gada 26. aprīļa noteikumi Nr. 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 gada 21. jūnija noteikumi Nr. 361 "Noteikumi par valsts institūciju amatpersonu un darbinieku darba samaksu un tās noteikšanas kārtību, kā arī par profesijām un specifiskajām jomām, kurām piemērojams tirgus koeficients";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2017. gada 28. februāra noteikumi Nr. 105 "Noteikumi par publisko iepirkumu līgumcenu robežvērtībām" (2. vai 3. punktā noteiktās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NVA iekšējie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 kā ES fondu atbildīgās iestādes pieņēmumi par atlīdzības noteikšanas principiem projekta īstenošanas laikam (2026. gada atlīdzībām plānotas 2026. gada atlīdzības izmaksas, nākamajos gados paredzot indeksāciju atbilstoši Latvijas Bankas inflācijas prognozei) un NVA pieņēmumiem un informāciju par 4.3.3.6. pasākuma projekta īstenošanā iesaistītā projekta personāla noslodzi, amata saimi, līmeni un 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normatīvajiem aktiem un informācijas avotiem projekta vadībai un īstenošanai noteikts šāds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 1 slodze (39.1. amatu saime, IV A līmenis,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vecākais eksperts – 5 slodzes (39.1. amatu saime, III līmenis, 10. mēnešalgu grupa) 2026. – 2028. gadā, 3 slodzes – 2029.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juriskonsults – 1 slodze (24. amatu saime, II līmenis, 10. mēnešalgas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vadošais ekonomists – 1 slodze (15.1. amatu saime, II līmenis,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sistēmanalītiķis – 1 slodze (21.4. amatu saime, IV līmenis, 12.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nodarbinātības organizators – 2 slodzes (25. amatu saime, V līmenis,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piemērošanā projekta īstenošanas laikā netiks pārbaudīts, vai faktiskā personāla piesaiste atbilst likmes aprēķinam. Tāpat likmes aprēķinā iekļautā informācija nav tieši izmantojama projekta īstenošanai nepieciešamā valsts budžeta līdzekļu plānošanai, jo likmes aprēķins ir balstīts uz pieņēmumiem (proti, tā ir personāla un tam nepieciešamā finansējuma prognoze).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Likmē iekļautās NVA projekta vadības un īstenošanas personāla izmaksas, tai skaitā veselības apdrošināšanas izmaksas nav iekļautas nevienā citā 4.3.3.6. pasākuma izmaksu pozīcijā. Līdz ar to tiek nodrošināta likmē iekļauto izmaksu nošķiršana no citām izmaksām, kas paredzētas 4.3.3.6. pasākuma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no 19.1. apakšpunktā atsauci uz darba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27.4. apakšpunktu un ietvert jaunu 27.4.1 apakšpunktu, precizējot finansējuma saņēmēja pienākumus attiecībā uz interešu konflikta, korupcijas un krāpšanas novēršanas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Papildus veikt tehnisku precizējumu MK noteikumu Nr. 723 1.3. apakšpunktā un 7. punktā, svītrojot vārdu "plānotais", ņemot vērā, ka lēmumi saistībā ar elastības finansējuma izmantošanu jau ir pieņemti 2025. gada 15. decembrī, Eiropas Komisijai sniedzot pozitīvu lēmumu par Eiropas Savienības kohēzijas politikas programmas 2021.-2027. gadam grozījumiem Nr. 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tika vērtēta esošā situācija, saglabājot spēkā esošo regulējumu bez izmaiņām. Problēmas un risinājuma pamatojums ir pieejams šajā anotācijā. Esošais regulējums paredz lielākus NVA un Centrālās finanšu un līgumu aģentūras kā sadarbības iestādes (turpmāk – CFLA) administratīvos resursus personāla izmaksu pamatošanā un paredz neaktuālu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vienkāršo personāla izmaksu pamatošanu un pārbaudi, kā arī paredz aktuālu 4.3.3.6. pasākuma atbalstāmo darbību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prasību un izmaksu samērīgumu vērtējams, ka Noteikumu projektā ierosinātās izmaiņas ir nepieciešamas, lai nodrošinātu kvalitatīvu, optimālu un uz rezultātu orientētu 4.3.3.6. pasākuma projektā paredzētā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723 nav negatīvas ietekmes uz NVA kā finansējuma saņēmēju, tie neradīs negatīvu ietekmi uz projektu īstenošanā iesaistīto personālu, jo tiek mainīta tikai personāla izmaksu attiecināšanas metodika, nevis nodarbinātības vai atlīdzības nosacījumi. NVA ir informēta par Noteikumu projektu tā izstrādes un saskaņošanas gaitā, tostarp par to, ka būs veicami grozījumi 2024. gada 19. jūnija  vienošanās par projekta Nr. 4.3.3.6/1/24/I/001 "Nodarbinātības valsts aģentūras veiktspējas stiprināšana" īstenošanu pielikumā esošajā projektā, gan precizējot atbalstāmo darbību saturu, gan projekta vadības un projekta īstenošanas personāla izmaksu nosacījumus.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(ES Oficiālais Vēstnesis, 2021. gada 30. jūnijs, Nr. L 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septembra Regula (ES, Euratom) 2024/2509 par finanšu noteikumiem, ko piemēro Savienības vispārējam budžetam (ES Oficiālais Vēstnesis, 2024. gada 26. septembris, Nr. L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(ES Oficiālais Vēstnesis, 2021. gada 30. jūnijs, Nr. L 231)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septembra Regula (ES, Euratom) 2024/2509 par finanšu noteikumiem, ko piemēro Savienības vispārējam budžetam (ES Oficiālais Vēstnesis, 2024. gada 26. septembris, Nr. L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Nodarbinātības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tādas izmaiņas, kas skar NVA un CFLA saistošus 4.3.3.6. pasākuma īstenošanas un uzraudzības nosacījumus, sabiedrības līdzdalība netika izsludināta.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4.3.3.6. pasākuma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26-TA-1048</w:t>
    </w:r>
    <w:r>
      <w:br/>
    </w:r>
    <w:r w:rsidR="00000000" w:rsidRPr="00000000" w:rsidDel="00000000">
      <w:rPr>
        <w:rtl w:val="0"/>
      </w:rPr>
      <w:t xml:space="preserve">Izdrukāts 09.09.2026. 17.24 - 2.0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26-TA-1048</w:t>
    </w:r>
    <w:r>
      <w:br/>
    </w:r>
    <w:r w:rsidR="00000000" w:rsidRPr="00000000" w:rsidDel="00000000">
      <w:rPr>
        <w:rtl w:val="0"/>
      </w:rPr>
      <w:t xml:space="preserve">Izdrukāts 09.09.2026. 17.24 - 2.0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anotācija_(ex_ante)_26-TA-1048.docx</dc:title>
</cp:coreProperties>
</file>

<file path=docProps/custom.xml><?xml version="1.0" encoding="utf-8"?>
<Properties xmlns="http://schemas.openxmlformats.org/officeDocument/2006/custom-properties" xmlns:vt="http://schemas.openxmlformats.org/officeDocument/2006/docPropsVTypes"/>
</file>