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Ieguldījumu brokeru sabiedrību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Ieguldījumu brokeru sabiedrību likumā” (turpmāk - Likumprojekts) izstrādāts, lai pārņemtu Eiropas Parlamenta un Padomes 2022. gada 14. decembra direktīvu (ES) 2022/2556 ar ko groza Direktīvas 2009/65/EK, 2009/138/EK, 2011/61/ES, 2013/36/ES, 2014/59/ES, 2014/65/ES, (ES) 2015/2366 un (ES) 2016/2341 attiecībā uz finanšu nozares digitālās darbības noturību (turpmāk – Direktīva Nr. 2022/2556).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digitālo tehnoloģiju izmantošanas riskus, likumprojekts paredz noteikt, ka ieguldījumu brokeru sabiedrībām ir pienākums izveidot un pārvaldīt tīklu un informācijas sistēmu atbilstoši Eiropas Parlamenta un Padomes 2022. gada 14. decembra Regulai (ES) 2022/2554 par finanšu nozares digitālās darbības noturību un ar ko groza Regulas (EK) Nr. 1060/2009, (ES) Nr. 648/2012, (ES) Nr. 600/2014, (ES) Nr. 909/2014 un (ES) 2016/1011 (turpmāk – Regula Nr. 2022/2554).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noteikta, jo saskaņā ar Direktīvas Nr. 2022/2556 9. pantu, minētās direktīvas prasības piemēro no 2025. gada 17. 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2022/2556 6. panta pārņemšana ir sistēmiski saistīta ar Regulas Nr. 2022/2554 tiešas piemērošanas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2022/2554 paredz digitālās darbības noturības prasību piemērošanu finanšu tirgus dalībniekiem un Direktīva Nr. 2022/2556 ir minētās regulas pakārtotais normatīvais akts. Regulas Nr. 2022/2554 prasību ieviešanu nodrošina likumprojekts “Finanšu tirgus digitālās darbības noturības un mākslīgā intelekta izmantošanas likums” (24-TA-2371), savukārt, lai pārņemtu Direktīvas Nr. 2022/2556 6. pantu, ir jāveic precizējumi Ieguldījumu brokeru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precizē soda naudas terminoloģiju, lai salāgotu termina lietojumu ar citiem finanšu sektora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precizē Ieguldījumu brokeru sabiedrību likuma 10. panta otrās daļas 3. punkta "d" apakšpunktu, paredzot, ka licences saņemšanai ieguldījumu brokeru sabiedrība iesniedz digitālās darbības noturības stratēģiju un informācijas drošības politiku saskaņā ar Regulas Nr. 2022/2554 6. panta 8. punktu un 9. panta 4. punkta "a" apakšpunktu. Regula Nr. 2022/2554 aizstāj līdzšinējos informācijas sistēmas aizsardzības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precizē Ieguldījumu brokeru sabiedrību likuma 31. panta pirmās daļas 9. punktu, proti, tiek paredzēta atsauce uz Regulu Nr. 2022/2554, nosakot, ka ieguldījumu brokeru sabiedrībām ir jāievēro digitālās darbības noturības prasības. Ar minēto grozījumu tiek pārņemts Direktīvas Nr. 2022/2556 6. panta 1. punkta "b" apakšpunkts. Tāpat ar precizējumu 31. panta pirmās daļas 15. punktā tiek pārņemts Direktīvas Nr. 2002/2556 6. panta 1. punkta "a" apakšpunkts, nosakot to, ka sniedzot ieguldījumu pakalpojumus un ieguldījumu blakuspakalpojumus, ir jāievēro digitālās darbības noturības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pants izsaka Ieguldījumu brokeru sabiedrību likuma 34. panta pirmās daļas 2. punktu jaunā redakcijā, sniedzot atsauci uz Regulu Nr. 2022/2554, kura ieguldījumu brokeru sabiedrībai nosaka tiesības deleģēt ārpakalpojumu sniedzējam informācijas tehnoloģiju vai sistēmu pārvaldību vai attīstības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 pants paredz panta nosaukumu izeikt jaunā redakcijā, to mainot uz "Maksājumi Latvijas Bankai", jo finanšu tirgus dalībnieku maksājumi paši par sevi nenodrošina Latvijas Bankas darbības finansēšanu, bet ļauj papildināt Latvijas Bankas finanšu resursus, no kuriem tiek finansēti visai sabiedrībai nozīmīgi pasākumi un ar kuriem finanšu tirgus dalībnieki uzņemas kopīgu atbildību par sabiedrības vajadzību apmierināšanu. Tāpat, ņemot vērā, ka Latvijas Bankas likumā (skat. Latvijas Bankas likuma 24. panta otro un trešo daļu) ir paredzēts deleģējums Latvijas Bankai noteikt visu tās uzraudzīto finanšu tirgus dalībnieku maksājumu veikšanas un aprēķināšanas kārtību un termiņus, kā arī ir paredzētas sekas, kas iestājas nokavētu vai nepilnīgi veiktu maksājumu gadījumā (nokavējuma nauda par katru nokavēto maksājuma dienu 0,05 procentu apmērā no nesamaksātās summas), Ieguldījumu brokeru sabiedrību likuma 52. panta otrā un trešā daļa, kas paredz analoģisku regulējumu tieši attiecībā uz ieguldījumu brokeru sabiedrībām (Latvijas Republikā licencētām ieguldījumu brokeru sabiedrībām, citu dalībvalstu ieguldījumu brokeru sabiedrību filiālēm un ārvalstu ieguldījumu brokeru sabiedrību filiālēm), ir izslēdzama.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paredz to, ka piemērotā soda nauda ir ieskaitāma valsts pamatbudžetā, tādejādi novēršot interpretācijas iespējas par budžetu, kas saņem piemēroto soda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papildina arī informatīvo atsauci uz Eiropas Savienības direktīvām ar atsauci uz Direktīvu Nr. 2022/2556.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2022/2554 aizstāj esošās informācijas tehnoloģiju prasības ieguldījumu brokeru sabiedrībām, proti, minētā regula harmonizē un konsolidē prasības attiecībā uz digitālās darbības noturību finanšu tirgus dalībniekiem, lai nodrošinātu konsekventu pieeju minēto prasību piemērošanā visā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2022/2554 nosaka jaunas pārvaldības prasības trešajām personām, kas sniedz informācijas un komunikācijas tehnoloģiju (IKT) pakalpojumus (V nodaļa "Ar trešo personu saistīta IKT riska pārvaldība"). Minētās regulas 3. panta 19. punkts definē, ka "trešā persona, kas sniedz IKT pakalpojumus" ir uzņēmums, kas sniedz IKT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pēc Regulas Nr. 2022/2554 stāšanās spēkā IKT pakalpojumu sniedzēju, kas atbilstoši Ieguldījumu brokeru sabiedrību likumam ir arī ārpakalpojumu sniedzēji, risku pārvaldība un ziņošana jāveic atbilstoši Regulas Nr. 2022/2554 prasībām un Komisijas 2024. gada 22. februāra deleģētajai regulai (ES) 2024/1502, ar ko [..] regulu [..] papildina, precizējot kritērijus, saskaņā ar kuriem trešās personas, kas sniedz IKT pakalpojumus, izraugās par finanšu vienībām kritiski svarīgām, un Komisijas 2024. gada 13. marta deleģētajai regulai (ES) 2024/1773, ar ko [..] regulu [..] papildina attiecībā uz regulatīvajiem tehniskajiem standartiem, sīkāk precizējot politikas detalizēto saturu saistībā ar līgumisku vienošanos par tādu IKT pakalpojumu izmantošanu, ar kuriem atbalsta kritiski svarīgas vai svarīgas funkcijas, ko nodrošina trešās personas, kas sniedz IKT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saistīts ar likumprojektu “Finanšu tirgus digitālās darbības noturības un mākslīgā intelekta izmantošanas likums” (24-TA-2371), likumprojektu "Grozījumi Ieguldījumu pārvaldes sabiedrību likumā" (24-TA-2433), likumprojektu "Grozījumi Apdrošināšanas un pārapdrošināšanas likumā" (24-TA-2434), likumprojektu "Grozījumi Alternatīvo ieguldījumu fondu un to pārvaldnieku likumā" (24-TA-2435), likumprojektu "Grozījumi Kredītiestāžu likumā" (24-TA-2436), likumprojektu "Grozījumi Kredītiestāžu un ieguldījumu brokeru sabiedrību darbības atjaunošanas un noregulējuma likumā" (24-TA-2440), likumprojektu "Grozījumi Finanšu instrumentu tirgus likumā" (24-TA-2442), likumprojektu "Grozījumi Maksājumu pakalpojumu un elektroniskās naudas likumā" (24-TA-2443) un likumprojektu "Grozījumi Privāto pensiju fondu likumā" (24-TA-2444).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32022L2556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2022/2556 ar ko groza Direktīvas 2009/65/EK, 2009/138/EK, 2011/61/ES, 2013/36/ES, 2014/59/ES, 2014/65/ES, (ES) 2015/2366 un (ES) 2016/2341 attiecībā uz finanšu nozares digitālās darbības noturību.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Direktīvas Nr. 2022/2556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direktīva (ES) 2022/2556 ar ko groza Direktīvas 2009/65/EK, 2009/138/EK, 2011/61/ES, 2013/36/ES, 2014/59/ES, 2014/65/ES, (ES) 2015/2366 un (ES) 2016/2341 attiecībā uz finanšu nozares digitālās darbības noturību.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Ieguldījumu pārvaldes sabiedrību likuma 13. panta pirmās daļas 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pārapdrošināšanas likuma 54. 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Alternatīvo ieguldījumu fondu un to pārvaldnieku likuma 22. panta otrās daļas 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Kredītiestāžu likuma 10.</w:t>
            </w:r>
            <w:r w:rsidR="00000000" w:rsidRPr="00000000" w:rsidDel="00000000">
              <w:rPr>
                <w:sz w:val="24"/>
                <w:vertAlign w:val="superscript"/>
                <w:rtl w:val="0"/>
              </w:rPr>
              <w:t xml:space="preserve">1</w:t>
            </w:r>
            <w:r w:rsidR="00000000" w:rsidRPr="00000000" w:rsidDel="00000000">
              <w:rPr>
                <w:sz w:val="24"/>
                <w:rtl w:val="0"/>
              </w:rPr>
              <w:t xml:space="preserve"> 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4.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Kredītiestāžu likuma 34.</w:t>
            </w:r>
            <w:r w:rsidR="00000000" w:rsidRPr="00000000" w:rsidDel="00000000">
              <w:rPr>
                <w:sz w:val="24"/>
                <w:vertAlign w:val="superscript"/>
                <w:rtl w:val="0"/>
              </w:rPr>
              <w:t xml:space="preserve">1</w:t>
            </w:r>
            <w:r w:rsidR="00000000" w:rsidRPr="00000000" w:rsidDel="00000000">
              <w:rPr>
                <w:sz w:val="24"/>
                <w:rtl w:val="0"/>
              </w:rPr>
              <w:t xml:space="preserve"> 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Kredītiestāžu likuma 34.</w:t>
            </w:r>
            <w:r w:rsidR="00000000" w:rsidRPr="00000000" w:rsidDel="00000000">
              <w:rPr>
                <w:sz w:val="24"/>
                <w:vertAlign w:val="superscript"/>
                <w:rtl w:val="0"/>
              </w:rPr>
              <w:t xml:space="preserve">2</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Kredītiestāžu likuma 101.</w:t>
            </w:r>
            <w:r w:rsidR="00000000" w:rsidRPr="00000000" w:rsidDel="00000000">
              <w:rPr>
                <w:sz w:val="24"/>
                <w:vertAlign w:val="superscript"/>
                <w:rtl w:val="0"/>
              </w:rPr>
              <w:t xml:space="preserve">3</w:t>
            </w:r>
            <w:r w:rsidR="00000000" w:rsidRPr="00000000" w:rsidDel="00000000">
              <w:rPr>
                <w:sz w:val="24"/>
                <w:rtl w:val="0"/>
              </w:rPr>
              <w:t xml:space="preserve">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Kredītiestāžu un ieguldījumu brokeru sabiedrību darbības atjaunošanas un noregulējuma likuma 11. panta sestās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5.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Kredītiestāžu un ieguldījumu brokeru sabiedrību darbības atjaunošanas un noregulējuma likuma 11. panta sestās daļas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5. panta 2. punkta "a", "b",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Kredītiestāžu un ieguldījumu brokeru sabiedrību darbības atjaunošanas un noregulējuma likuma 5.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6.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Ieguldījumu brokeru sabiedrību likuma 31. panta pirmās daļas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6.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Ieguldījumu brokeru sabiedrību likuma 31. panta pirmās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6.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132.</w:t>
            </w:r>
            <w:r w:rsidR="00000000" w:rsidRPr="00000000" w:rsidDel="00000000">
              <w:rPr>
                <w:sz w:val="24"/>
                <w:vertAlign w:val="superscript"/>
                <w:rtl w:val="0"/>
              </w:rPr>
              <w:t xml:space="preserve">1</w:t>
            </w:r>
            <w:r w:rsidR="00000000" w:rsidRPr="00000000" w:rsidDel="00000000">
              <w:rPr>
                <w:sz w:val="24"/>
                <w:rtl w:val="0"/>
              </w:rPr>
              <w:t xml:space="preserve"> 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6.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27. panta 2.</w:t>
            </w:r>
            <w:r w:rsidR="00000000" w:rsidRPr="00000000" w:rsidDel="00000000">
              <w:rPr>
                <w:sz w:val="24"/>
                <w:vertAlign w:val="superscript"/>
                <w:rtl w:val="0"/>
              </w:rPr>
              <w:t xml:space="preserve">1</w:t>
            </w:r>
            <w:r w:rsidR="00000000" w:rsidRPr="00000000" w:rsidDel="00000000">
              <w:rPr>
                <w:sz w:val="24"/>
                <w:rtl w:val="0"/>
              </w:rPr>
              <w:t xml:space="preserve">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6.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27. panta 2.</w:t>
            </w:r>
            <w:r w:rsidR="00000000" w:rsidRPr="00000000" w:rsidDel="00000000">
              <w:rPr>
                <w:sz w:val="24"/>
                <w:vertAlign w:val="superscript"/>
                <w:rtl w:val="0"/>
              </w:rPr>
              <w:t xml:space="preserve">1</w:t>
            </w:r>
            <w:r w:rsidR="00000000" w:rsidRPr="00000000" w:rsidDel="00000000">
              <w:rPr>
                <w:sz w:val="24"/>
                <w:rtl w:val="0"/>
              </w:rPr>
              <w:t xml:space="preserve">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6.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35.</w:t>
            </w:r>
            <w:r w:rsidR="00000000" w:rsidRPr="00000000" w:rsidDel="00000000">
              <w:rPr>
                <w:sz w:val="24"/>
                <w:vertAlign w:val="superscript"/>
                <w:rtl w:val="0"/>
              </w:rPr>
              <w:t xml:space="preserve">1</w:t>
            </w:r>
            <w:r w:rsidR="00000000" w:rsidRPr="00000000" w:rsidDel="00000000">
              <w:rPr>
                <w:sz w:val="24"/>
                <w:rtl w:val="0"/>
              </w:rPr>
              <w:t xml:space="preserve"> panta 1.</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6.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instrumentu tirgus likuma 35.</w:t>
            </w:r>
            <w:r w:rsidR="00000000" w:rsidRPr="00000000" w:rsidDel="00000000">
              <w:rPr>
                <w:sz w:val="24"/>
                <w:vertAlign w:val="superscript"/>
                <w:rtl w:val="0"/>
              </w:rPr>
              <w:t xml:space="preserve">1</w:t>
            </w:r>
            <w:r w:rsidR="00000000" w:rsidRPr="00000000" w:rsidDel="00000000">
              <w:rPr>
                <w:sz w:val="24"/>
                <w:rtl w:val="0"/>
              </w:rPr>
              <w:t xml:space="preserve"> panta 9.</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pakalpojumu un elektroniskās naudas likuma 3. panta pirmās daļas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7. panta 2. punkta "a" apakšpunkta 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pakalpojumu un elektroniskās naudas likuma 11. panta pirmās daļas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7. panta 2. punkta "a" apakšpunkta 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pakalpojumu un elektroniskās naudas likuma 11. panta pirmās daļas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7. panta 2. punkta "a" apakšpunkta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pakalpojumu un elektroniskās naudas likuma 11. panta pirmās daļas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7.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pakalpojumu un elektroniskās naudas likuma 11.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pakalpojumu un elektroniskās naudas likuma 29.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pakalpojumu un elektroniskās naudas likuma 104.</w:t>
            </w:r>
            <w:r w:rsidR="00000000" w:rsidRPr="00000000" w:rsidDel="00000000">
              <w:rPr>
                <w:sz w:val="24"/>
                <w:vertAlign w:val="superscript"/>
                <w:rtl w:val="0"/>
              </w:rPr>
              <w:t xml:space="preserve">1</w:t>
            </w:r>
            <w:r w:rsidR="00000000" w:rsidRPr="00000000" w:rsidDel="00000000">
              <w:rPr>
                <w:sz w:val="24"/>
                <w:rtl w:val="0"/>
              </w:rPr>
              <w:t xml:space="preserve"> panta otrā, trešā, ceturtā,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pakalpojumu un elektroniskās naudas likuma 104.</w:t>
            </w:r>
            <w:r w:rsidR="00000000" w:rsidRPr="00000000" w:rsidDel="00000000">
              <w:rPr>
                <w:sz w:val="24"/>
                <w:vertAlign w:val="superscript"/>
                <w:rtl w:val="0"/>
              </w:rPr>
              <w:t xml:space="preserve">2</w:t>
            </w:r>
            <w:r w:rsidR="00000000" w:rsidRPr="00000000" w:rsidDel="00000000">
              <w:rPr>
                <w:sz w:val="24"/>
                <w:rtl w:val="0"/>
              </w:rPr>
              <w:t xml:space="preserve"> panta trešā, ceturtā,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2022/2556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Privāto pensiju fondu likuma 20. panta 3.</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nenosaka stingrākas prasības kā ES tiesību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https://tapportals.mk.gov.lv/public_participation/94f6181f-d9a6-4a22-a5ea-d5305be44a00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noslēdzās 2024. gada 18. oktobrī. Komentāri, iebildumi vai priekšlikumi par likumprojektu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24-TA-2441</w:t>
    </w:r>
    <w:r>
      <w:br/>
    </w:r>
    <w:r w:rsidR="00000000" w:rsidRPr="00000000" w:rsidDel="00000000">
      <w:rPr>
        <w:rtl w:val="0"/>
      </w:rPr>
      <w:t xml:space="preserve">Izdrukāts 29.07.2026. 23.46 - 5.0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24-TA-2441</w:t>
    </w:r>
    <w:r>
      <w:br/>
    </w:r>
    <w:r w:rsidR="00000000" w:rsidRPr="00000000" w:rsidDel="00000000">
      <w:rPr>
        <w:rtl w:val="0"/>
      </w:rPr>
      <w:t xml:space="preserve">Izdrukāts 29.07.2026. 23.46 - 5.0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anotācija_(ex_ante)_24-TA-2441.docx</dc:title>
</cp:coreProperties>
</file>

<file path=docProps/custom.xml><?xml version="1.0" encoding="utf-8"?>
<Properties xmlns="http://schemas.openxmlformats.org/officeDocument/2006/custom-properties" xmlns:vt="http://schemas.openxmlformats.org/officeDocument/2006/docPropsVTypes"/>
</file>