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2023. gada 13. jūlija noteikumos Nr. 407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īstenošanas noteikumi"” (turpmāk – MK noteikumu projekts) ir izstrādāts, lai precizētu biznesa inkubācijas aktivitātē komersantiem atbalsta intensitāti un citus nosacījumus efektīvākai finansējuma piekļuvei un apgūšanai, tāpat arī noteiktu, ka Latvijas Investīciju un attīstības aģentūrai (turpmāk - LIAA) ir tiesības saņemt informāciju no valsts informācijas sistēmām, datubāzēm un reģistros tādā apjomā, lai nodrošinātu atbalsta programmas īstenošanu un atbalsta sniegšanu gala labuma guvējiem.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noteikt biznesa inkubācijas komersantiem augstāku atbalsta intensitāti un citus nosacījumus efektīvākai finansējuma piekļuvei un apgūšanai, tāpat arī noteikt, ka LIAA ir tiesības saņemt informāciju no valsts informācijas sistēmām, datubāzēm un reģistros tādā apjomā, lai nodrošinātu atbalsta programmas īstenošanu un atbalsta sniegšanu gala labuma guvējiem.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Eiropas inovācijas novērtējuma 2024. gada rezultātiem Latvija ieņem 25. vietu no 27 ES valstīm, esot priekšā tikai Rumānijai un Bulgārijai. Kritiski zemi rādītāji ir attiecībā uz valsts atbalstu uzņēmumiem izpētes un attīstības aktivitātēm, uzņēmumu tēriņiem inovācijām uz vienu nodarbināto, kopējām investīcijām privātajā sektorā uz izpēti, attīstību un nodarbinātības līmeni inovatīvos uzņēmumos. Kopumā inovāciju aktivitātes ir nozīmīgs faktors uzņēmuma produktivitātes pieaugumam un augstāka inovāciju aktivitāte palielina iespēju augstas izaugsmes uzņēmumu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13. jūlija noteikumu Nr. 407 "Eiropas Savienības kohēzijas politikas programmas 2021.–2027. gadam 1.2.3.specifiskā atbalsta mērķa "Veicināt ilgtspējīgu izaugsmi, konkurētspēju un darba vietu radīšanu MVU, tostarp ar produktīvām investīcijām" 1.2.3.1.pasākuma "Atbalsts MVU inovatīvas uzņēmējdarbības attīstībai" īstenošanas noteikumi" (turpmāk - MK noteikumi Nr. 407) 1.2.3.1. pasākums "Atbalsts MVU inovatīvas uzņēmējdarbības attīstībai" (turpmāk - 1.2.3.1. pasākums) paredz, ka biznesa inkubācijas aktivitātē atbalstītajiem komersantiem pakalpojumiem uzņēmējdarbības attīstībai, telpu un darba vietas nomai, ražošanas aprīkojuma un iekārtu iegādei, kā arī valstī noteiktās vienas minimālās mēneša darba algas un valsts sociālās apdrošināšanas obligātajām iemaksām vienam darbiniekam vienu reizi 12 mēnešu periodā (inovatīvam komersantam) atbalsta intensitāte ir 50%, savukārt izejmateriālu un izejvielu iegādei 30%. Tāpat 1.2.3.1. pasākumā ir noteikts, ka atbalsts telpu un darba vietas nomas gadījumā pieejams tikai pirmajos divos inkubācijas gados. Savukārt darba algas grantu inovatīvs komersants var nodrošināt tikai vienam darbiniekam.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jūnijā tika veikta biznesa inkubācijas komersantu aptaujas anketa, lai noskaidrotu galvenos izaicinājumus, ar kuriem sastopas jaunie komersanti. Aptaujā piedalījās 165 respondenti, un 63% no tiem atbildēja, ka uzņēmumiem galvenais iemesls aktīvai plānotā finansējuma neapguvei ir grūtības piesaistīt pietiekamus līdzekļus, lai segtu sākotnējās izmaksas un nodrošinātu ilgtspējīgu attīstību, proti uzņēmumi atzina, ka nepietiekami apgrozāmie līdzekļi kavē inovatīvu un eksportspējīgu produktu/tehnoloģiju attīstību. Piemēram, lai saņemtu maksimālo grantu 5000 EUR par izejmateriāliem (intensitāte 30%), komersantam pašam jāiegulda 11 666,67 EUR. Šādā gadījumā komersanti izvērtē, vai ir lietderīgi sākotnēji ieguldīt 16 666,67 EUR, lai atgūtu tikai 5 000 EUR. Uzņēmēji atsakās no zemās intensitātes aktivitātēm koncentrējoties uz citu atbalsta programmu aktivitātēm ar augstāku intensitāti, kuras tieši nenodrošina inovatīvu uzņēmumu veidošanos un strauju izaugsmi. Tāpat komersanti atzīst, ka jauniem uzņēmumiem bieži ir grūti iekļūt tirgū un piesaistīt pirmos klientus, kas ir būtiski uzņēmuma izaugsmei un eksporta veicināšanai. Uzsver arī nepietiekamu piekļuvi modernām darba telpām, tehnoloģijām, kas arī kavē uzņēmumu attīstību. Izaicinājums ir arī piesaistīt talantīgus darbiniekus, kas gatavi strādāt jaunā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2025. gada 20. jūnijam biznesa inkubācijas programmā kopumā uzņemti 233 komersanti, 112 inovatīvie un 121 eksportspējīgie, tai skaitā 39 radošās industrijas komersanti. Tāpat 64 komersanti ir apstiprināti dalībai pirmsinkubācijas programmā. Pirmajā programmas īstenošanas gadā tikai 145 komersanti pieteicās finansiālajam atbalstam, iesniedzot finanšu atbalsta plānus, kas liecina par zemo komersantu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atbalsta plānos </w:t>
      </w:r>
      <w:r w:rsidR="00000000" w:rsidRPr="00000000" w:rsidDel="00000000">
        <w:rPr>
          <w:u w:val="single"/>
          <w:rtl w:val="0"/>
        </w:rPr>
        <w:t xml:space="preserve">pieprasītais </w:t>
      </w:r>
      <w:r w:rsidR="00000000" w:rsidRPr="00000000" w:rsidDel="00000000">
        <w:rPr>
          <w:rtl w:val="0"/>
        </w:rPr>
        <w:t xml:space="preserve">atbalsta finansējums ir 3 466 248,59 EUR, t.sk., </w:t>
      </w:r>
      <w:r w:rsidR="00000000" w:rsidRPr="00000000" w:rsidDel="00000000">
        <w:rPr>
          <w:u w:val="single"/>
          <w:rtl w:val="0"/>
        </w:rPr>
        <w:t xml:space="preserve">apstiprinātais</w:t>
      </w:r>
      <w:r w:rsidR="00000000" w:rsidRPr="00000000" w:rsidDel="00000000">
        <w:rPr>
          <w:rtl w:val="0"/>
        </w:rPr>
        <w:t xml:space="preserve"> atbalsta finansējums ir 3 004 741,21 EUR, t.sk., </w:t>
      </w:r>
      <w:r w:rsidR="00000000" w:rsidRPr="00000000" w:rsidDel="00000000">
        <w:rPr>
          <w:u w:val="single"/>
          <w:rtl w:val="0"/>
        </w:rPr>
        <w:t xml:space="preserve">izmaksātais</w:t>
      </w:r>
      <w:r w:rsidR="00000000" w:rsidRPr="00000000" w:rsidDel="00000000">
        <w:rPr>
          <w:rtl w:val="0"/>
        </w:rPr>
        <w:t xml:space="preserve"> atbalsta finansējums ir 1 149 497,54 EUR.</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LIAA sniegtie dati liecina, ka pirmajā inkubācijas gadā no pieprasītā 100% rezervētā finansējuma komersantu finanšu atbalsta plānos, maksājumos tika apstiprināti tikai 33%. Tieši zemais maksājumu pieprasījums no komersantu puses korelē ar veiktās aptaujas datiem, jo komersants pirms iegulda privātos līdzekļus, rūpīgi izvērtē ekonomisko atdevi šim grantam, un šāda kavēšanās neveicina inovatīvu uzņēmumu attīstību. Līdz ar to intensitātes celšanu veicinās mazāk aktīvo komersantu daļu sākt izmantot pieejamā atbalsta iespējas, kas ir svarīgi gan eksportspējīgiem gan inovatīviem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1.2.3.1 pasākumā nav noteikts, ka LIAA ir tiesības bez maksas pieprasīt un saņemt tiešu pieeju datiem valsts informācijas sistēmās, datubāzēs un reģistros tādā apjomā, kāds nepieciešams atbalsta programmas īstenošanai un atbalsta sniegšanai gala labuma guvējiem atbilstoši šiem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MK noteikumu projektu tiek paredzēts: </w:t>
      </w:r>
      <w:r w:rsidR="00000000" w:rsidRPr="00000000" w:rsidDel="00000000">
        <w:rPr>
          <w:b w:val="1"/>
          <w:rtl w:val="0"/>
        </w:rPr>
        <w:t xml:space="preserve">1. precizēt atbalsta intensitātes biznesa inkubācijā atbalstītajiem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pašreizējo situāciju un problēmu par zemo maksājumu pieprasījumu apmēru no komersantu puses, ar MK noteikumu projektu paredzēts palielināt atbalsta intensitātes slieksni no 50 procentiem uz 70 procentiem komersantiem pakalpojumiem uzņēmējdarbības attīstībai, telpu un darba vietas nomai, ražošanas aprīkojuma un iekārtu iegādei, savukārt izejmateriālu un izejvielu iegādei no 30 procentiem uz 70 procentiem.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 MK noteikumu projektu tiek noteikts palielināt atbalsta slieksni uz 100 procentiem (iepriekš 50 procenti) inovatīviem komersantiem valstī noteiktās vienas minimālās mēneša darba algas un valsts sociālās apdrošināšanas obligātajām iemaksām vienam darbiniekam vienu reizi 12 mēnešu periodā.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intensitātes celšana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MK noteikumu projektu tiek noteikts, ka darba algas grantu var izmantot diviem darbiniekiem (iepriekš vienam darbiniekam). 100% intensitāte darba algas grantam inovatīvam komersantam,  un nodrošinot diviem darbiniekiem iespēju šo saņemt 12 mēnešu ietvaros, veicinās talantīgu darbinieku piesaisti un kompetenta darba spēka pieauguma reģionos. Tāpat tas veicinās remigrāciju reģionos un palielinās nodokļu iemaksu budžetā, kā arī veicinās jaunu darba vietu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kā atbildīgās iestādes ieskatā, lielāks valsts atbalsts samazina komersantu risku un sākotnējās izmaksas, kā arī ļauj komersantiem vairāk koncentrēties uz inovāciju un produktu izstrādi, nevis uz izdzīvošanu. Vienlaikus samazina riskus papildu finansējuma piesaistīšanai.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palielināt iespējamo nodokļu parāda slieksni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paredzēts palielināt komersantam iespējamo nodokļu parāda slieksni no 150 euro uz 1000 euro. Tas veicinās gan komersantu iekšējo finanšu resursu labāku plānošanu, gan arī samazinātu administratīvo slogu atbalsta programmas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iestrādātie grozījumi MK noteikumos Nr. 407 attiecināmi uz gala labuma guvēju pieteiktajām atbalstāmajām darbībām, kas tiks apstiprinātas pēc šo grozījumu spēkā stāšanas dienas.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Tāpat arī palielinot atbalsta intensitāti biznesa inkubācijas aktivitātē uz 70% izejvielām, izejmateriāliem, uzņēmējdarbības pakalpojumiem, aprīkojuma un iekārtu iegādei,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atbalstu inovatīviem komersantiem darba algai diviem darbiniekiem 12 mēnešu ietvaros ar 100% atbalsta intensitāti, komersanti var izveidot jaunas darba vietas. Tas veicinās mazāk aktīvo komersantu daļu sākt izmantot pieejamā atbalsta iespējas, kas ir svarīgi gan eksportspējīgiem gan inovatīviem komersantiem. Tāpat atbalsta intensitātes palielināšana piedāvās komersantiem lielākus finansējuma apjomus un ātrāku piekļuvi apgrozāmiem līdzekļiem.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25-TA-1526</w:t>
    </w:r>
    <w:r>
      <w:br/>
    </w:r>
    <w:r w:rsidR="00000000" w:rsidRPr="00000000" w:rsidDel="00000000">
      <w:rPr>
        <w:rtl w:val="0"/>
      </w:rPr>
      <w:t xml:space="preserve">Izdrukāts 29.07.2026. 23.11 - 1.0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25-TA-1526</w:t>
    </w:r>
    <w:r>
      <w:br/>
    </w:r>
    <w:r w:rsidR="00000000" w:rsidRPr="00000000" w:rsidDel="00000000">
      <w:rPr>
        <w:rtl w:val="0"/>
      </w:rPr>
      <w:t xml:space="preserve">Izdrukāts 29.07.2026. 23.11 - 1.0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anotācija_(ex_ante)_25-TA-1526.docx</dc:title>
</cp:coreProperties>
</file>

<file path=docProps/custom.xml><?xml version="1.0" encoding="utf-8"?>
<Properties xmlns="http://schemas.openxmlformats.org/officeDocument/2006/custom-properties" xmlns:vt="http://schemas.openxmlformats.org/officeDocument/2006/docPropsVTypes"/>
</file>