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budžetu un finanšu vadību 19.</w:t>
      </w:r>
      <w:r w:rsidR="00000000" w:rsidRPr="00000000" w:rsidDel="00000000">
        <w:rPr>
          <w:vertAlign w:val="superscript"/>
          <w:rtl w:val="0"/>
        </w:rPr>
        <w:t xml:space="preserve">3</w:t>
      </w:r>
      <w:r w:rsidR="00000000" w:rsidRPr="00000000" w:rsidDel="00000000">
        <w:rPr>
          <w:rtl w:val="0"/>
        </w:rPr>
        <w:t xml:space="preserve"> panta otrā daļa uzliek pienākumu Ministru kabinetam izveidot efektīvu, pārskatāmu un pareizas finanšu pārvaldības principiem atbilstošu uzraudzības kārtību Eiropas Savienības budžeta programmas Eiropas Atveseļošanas un noturības mehānisma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MK noteikumi) ietvaros tiks nodrošināts atbalsts sīkajiem (mikro), mazajiem, vidējiem un lielajiem komersantiem, t.sk. valsts kapitālsabiedrībām un pētniecības un zināšanu izplatīšanas organizācijām, lai komersanti varētu izstrādāt Eiropai svarīgo kopīgo interešu mēroga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finansējuma pieejamības nodrošināšana, piešķirot Atveseļošanas un noturības mehānisma plāna finansējumu un izmantojot mērķtiecīgus valsts ieguldījumus, lai nodrošinātu Latvijas iesaisti Eiropai svarīgo kopīgo interešu projektos (turpmāk – IPCEI), veicinot jaunu produktu, pakalpojumu un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 gada 28. aprīlī (prot. Nr. 36 27. §) apstiprināja rīkojumu Nr.292 “Par Latvijas Atveseļošanas un noturības mehānisma plānu”, kas iesniegts Eiropas Komisijā 2021. gada 30. aprīlī. Atveseļošanas un noturības mehānisma (turpmāk – Atveseļošanas fonds) Padomes Īstenošanas lēmums 2021. gada 13. jūlijā apstiprināts Eiropas Savienības Ekonomikas un finanšu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Apstiprinātā Atveseļošanas fonda ietvaros piešķirts finansējums ekonomikas transformācijai un produktivitātes reformai, 5.1. reformu un investīciju virziena “Produktivitātes paaugstināšana caur investīciju apjoma palielināšanu P&amp;A” 5.1.1.r. reformas ”Inovāciju pārvaldība un privāto P&amp;A investīciju motivācija” 5.1.1.2.i. investīcijas “Atbalsta instruments pētniecības un internacionalizācijas veicināšanai” (turpmāk – 5.1.1.2.i. investīcija) paredz investīciju apjoma palielināšanu P&amp;A.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Atveseļošanas fonda plāna 5.1.1.2.i. investīcijas finansējums ir 108 912 082 </w:t>
      </w:r>
      <w:r w:rsidR="00000000" w:rsidRPr="00000000" w:rsidDel="00000000">
        <w:rPr>
          <w:i w:val="1"/>
          <w:rtl w:val="0"/>
        </w:rPr>
        <w:t xml:space="preserve">euro</w:t>
      </w:r>
      <w:r w:rsidR="00000000" w:rsidRPr="00000000" w:rsidDel="00000000">
        <w:rPr>
          <w:rtl w:val="0"/>
        </w:rPr>
        <w:t xml:space="preserve">. 5.1.1.2.i. investīciju plānots dalīt četros tiesību aktu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projekts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(turpmāk – Kompetences centru programma). Kopējais finansējums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projekts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 (turpmāk – Atbalsts pētniecībai programma). Kopējais finansējums 47 663 651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tiesību akta projekta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Sadarbības tīkla programma). Kopējais finansējums 5 248 431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IPCEI programma). Kopējais finansējums 31 000 000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investīcijas dalījums četrās atsevišķās kārtās nepieciešams, lai nodrošinātu efektīvāku atbalsta piešķiršanu pētniecībai un internacionalizācijai ar skaidrāku komercdarbības atbalsta piešķiršanas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Dalījums četrās atbalsta programmās  nodrošina arī Ekonomikas ministrijai (turpmāk - nozares ministrija) un Centrālai finanšu un līgumu aģentūrai (turpmāk – Aģentūra) vieglāku investīcijas uzraudzību un demarkācijas izsekojamību.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pamatnostādnēs 2021. – 2027. gadam viens no šķēršļiem Latvijas tautsaimniecības virzībai uz inovatīvu un zināšanu balstītu ekonomikas modeli ir zemais pētniecības un attīstības ieguldījumu apmērs kā valsts, tā arī uzņēmumu sektorā, kā arī pašu pētniecības un attīstības intensīvo nozaru zemais īpatsvars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Latvijā 2021.gadā pētniecībā un attīstībā kopumā bija investēti 248.89 milj. </w:t>
      </w:r>
      <w:r w:rsidR="00000000" w:rsidRPr="00000000" w:rsidDel="00000000">
        <w:rPr>
          <w:i w:val="1"/>
          <w:rtl w:val="0"/>
        </w:rPr>
        <w:t xml:space="preserve">euro </w:t>
      </w:r>
      <w:r w:rsidR="00000000" w:rsidRPr="00000000" w:rsidDel="00000000">
        <w:rPr>
          <w:rtl w:val="0"/>
        </w:rPr>
        <w:t xml:space="preserve">jeb 0,74% no IKP, kas ir pēdējos desmit gados augstākais līmenis, tomēr tas joprojām ir zemāks nekā vidēji ES (2,44% no IKP), kā arī zemāks nekā Baltijas kaimiņvalstīs - Lietuvā kopējie ieguldījumi P&amp;A veido 1,16% no IKP, bet Igaunijā 1,79% no IKP. Salīdzinot ar 2020.gadu, kopējās investīcijas P&amp;A Latvijā palielinājās par 11,15%. Kopš 2017.gada ieguldījumu apjoms P&amp;A pieauga gandrīz 1,8 reizes, ko galvenokārt noteica valsts finansētie ieguldījumi. Pozitīva dinamika ir vērojama privātā sektora (uzņēmumu) ieguldījumiem P&amp;A 2021. gadā uzņēmumu investīcijas P&amp;A bija 83,30 milj. </w:t>
      </w:r>
      <w:r w:rsidR="00000000" w:rsidRPr="00000000" w:rsidDel="00000000">
        <w:rPr>
          <w:i w:val="1"/>
          <w:rtl w:val="0"/>
        </w:rPr>
        <w:t xml:space="preserve">euro </w:t>
      </w:r>
      <w:r w:rsidR="00000000" w:rsidRPr="00000000" w:rsidDel="00000000">
        <w:rPr>
          <w:rtl w:val="0"/>
        </w:rPr>
        <w:t xml:space="preserve">apjomā jeb 33.4% no kopējiem ieguldījumiem P&amp;A.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ekonomiskā virzība nav devusi pietiekamu sniegumu, lai Latvija spētu nodrošināt vienlīdz ātru attīstības tempu kā Eiropas Savienības ekonomiski spēcīgākās valstis, kā arī COVID-19 radītie izaicinājumi ekonomisko situāciju ir būtiski ietekmējuši vadošo nozaru attīstību. Ņemot vērā iepriekšminēto, lai veicinātu Latvijas komersantus  inovētspēju, nepieciešams turpināt mērķtiecīgus ieguldījumus pētniecības attīstībā, tai skaitā viedās specializācijas jomu attīstībai. Atveseļošanas fonda iekļautās aktivitātes saskan ar Nacionālās industriālās politikas pamatnostādnēs 2021.-2027. gadam iekļautajiem uzdevumiem “Privātā un publiskā sektora investīciju vecināšana P&amp;A&amp;I” un “Uzņēmumu vadītu lietišķo pētījumu atbalsts”. Aktivitātes ietver izstrādāt inovatīvus, augstas pievienotās vērtības produktus, kā arī veicināt šo produktu eksportu, paaugstināt uzņēmējdarbības sektora pētniecības un attīstības izdevumu apjomu, veicināt sadarbību starp uzņēmējdarbības un pētniecības sektoriem, kā arī vecināt Latvijas uzņēmumu iesaisti starptautiskās tīklošanās platformās un starptautiskos pētniecības un attīstības projektos, izmantojot mērķtiecīgus valsts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augstāk minētās aktivitātes un sniegtu ieguldījumu Nacionālās industriālās politikas pamatnostādņu 2021.-2027. gadam mērķu sasniegšanā (skat. aplēses pie risinājuma apraksta), ar šiem MK noteikumiem ir izstrādāta IPCEI programma - 5.1.1.2.i. investīcijas ceturtā kārta.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investīcijas ceturtā kārta ir vērsta uz “Deklarācija par Evikas Siliņas vadītā Ministru kabineta iecerēto darbību” dotā uzdevuma Nr. 23 - veidosim inovācijas ekosistēmu, cieši sadarbojoties publiskajam, privātajam, akadēmiskajam un nevalstiskajam sektoram -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tautsaimniecības transformāciju un attīstītu ar tehnoloģijām un inovācijām saistītās konkurences priekšrocības MK noteikumos, atbalstu plānots sniegt personai, kam piešķirts finansējums projekta īstenošanai, lai nodrošinātu dalību IPCEI. Atbalsta saņēmējs IPCEI programmas ietvaros ir reģistrēts Latvijas Republikas Uzņēmumu reģistrā un tam ir juridiskas personas statuss, vai reģistrēts publisko personu un iestāžu sarakstā vai Izglītības un zinātnes ministrijas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IPCEI programmas ietvaros atbalstu plānots nodrošināt pētniecībai, konkrētāk ar projektu saistītām izmaksām, rūpnieciskajiem pētījumiem, eksperimentālām izstrādēm, tehniski ekonomiskais priekšizpētei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Īss IPCEI programmas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5.1.1.2.i. investīcijas ceturtās kārtas ietvaros izveidots atbalsta instruments pētniecības veicināšanai granti jaunu produktu, tehnoloģiju un pakalpojumu izstrādei IPCEI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MK noteikumu kopējais finansējuma apmērs ir 31 000 000 </w:t>
      </w:r>
      <w:r w:rsidR="00000000" w:rsidRPr="00000000" w:rsidDel="00000000">
        <w:rPr>
          <w:i w:val="1"/>
          <w:rtl w:val="0"/>
        </w:rPr>
        <w:t xml:space="preserve">euro </w:t>
      </w:r>
      <w:r w:rsidR="00000000" w:rsidRPr="00000000" w:rsidDel="00000000">
        <w:rPr>
          <w:rtl w:val="0"/>
        </w:rPr>
        <w:t xml:space="preserve">vienam atbalsta saņēmējam nenosakot minimāli pieļaujamo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MK noteikumu ietvaros Aģentūra rīko atklātu projektu iesniegumu atlasi līdz pilnai finansējuma apguvei, kurā atbalsta saņēmējs piesakās atbalsta saņemšanai. Aģentūra noteiktā termiņā pēc projekta iesnieguma saņemšanas veic vērtēšanu un lemj par atbalsta piešķiršanu, apstiprināšanas gadījumā slēdzot līgumu ar atbalsta saņēmēju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atbalsta saņēmējs uzsāk projekta īstenošanu, atbalsta saņēmējs sniedz progresa pārskatus un atskaitās par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Aģentūra, veic projekta uzraudzību atbilstoši MK noteikumu nosacījumiem. Konstatētu pārkāpumu gadījumā saistībā ar komercdarbības atbalsta kontroles normām, atbalsta saņēmējam ir pienākums atmaksāt Aģentūrai visu projekta ietvaros saņemto nelikumīgo komercdarbības atbalstu kopā ar procentiem no līdzekļiem, kas ir brīvi no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atbalsts IPCEI programmas ietvaros nodrošināts saskaņā ar Komisijas 2014. gada 17. jūnija Regulas Nr. 651/2014, ar ko noteiktas atbalsta kategorijas atzīst par saderīgām ar iekšējo tirgu, piemērojot Līguma 107. un 108. pantu (turpmāk - Komisijas Regulas Nr. 651/2014) 25. pantu un tiek sniegts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MK noteikumu ietvaros atbalsta saņēmējs projektu īsteno un izmaksas var attiecināt līdz 2027.gada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investīcijas ceturtās kārtas ietvaros plānotie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ietvaros varētu tikt atbalstīti 8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 un izstrādāti 8 jauni produkti, pakalpojumi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apgrozījuma pieaugums pētniecības projekta noslēgšanas gadā pret pētniecības projekta uzsākšanas gadu - 65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eksporta pieaugums pētniecības projekta noslēgšanas gadā pret pētniecības projekta uzsākšanas gadu - 45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35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piesaistītais privāto investīciju apmērs vismaz 20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Aprēķini veikti balstoties uz nozares ministrijas aplēsēm.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nosaka īstenošanas un uzraudzības kārtību atbalsta sniegšanai pētniecības veicināšanai jaunu produktu, tehnoloģiju un pakalpojumu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finansējums paredzēts Latvijas komersantu un pētniecības un zināšanu izplatīšanas organizāciju iesaistes nodrošināšanai IPCEI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kopējais pieejamais finansējums ir 31 000 000 euro projektu īstenošanai IPCEI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mērķa grupa ir sīkie (mikro), mazie, vidējie un lielie komersanti t.sk. valsts kapitālsabiedrības un pētniecības un zināšanu izplatīšanas organizācijas, kas attīsta jaunus produktus, pakalpojumus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tiek sniegts atbalsts grantu veidā saskaņā ar Komisijas Regulas Nr. 651/2014 25.panta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investīcijas ietvaros ir noteikti šādi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21"/>
        <w:gridCol w:w="8319"/>
        <w:gridCol w:w="8319"/>
        <w:tblGridChange w:id="0">
          <w:tblGrid>
            <w:gridCol w:w="1021"/>
            <w:gridCol w:w="8319"/>
            <w:gridCol w:w="8319"/>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Mērķis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2025.gada 30.jūnijam apstiprinātas saistības  vismaz  98 000 000 </w:t>
            </w:r>
            <w:r w:rsidR="00000000" w:rsidRPr="00000000" w:rsidDel="00000000">
              <w:rPr>
                <w:sz w:val="24"/>
                <w:i w:val="1"/>
                <w:rtl w:val="0"/>
              </w:rPr>
              <w:t xml:space="preserve">euro </w:t>
            </w:r>
            <w:r w:rsidR="00000000" w:rsidRPr="00000000" w:rsidDel="00000000">
              <w:rPr>
                <w:sz w:val="24"/>
                <w:rtl w:val="0"/>
              </w:rPr>
              <w:t xml:space="preserve">apmērā finansējuma nodrošināšanai projektiem: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Kompetences centru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22 500 000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pētniecībai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42 876 411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Sadarbības tīkla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4 723 589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Eiropai svarīgo kopīgo interešu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27 900 000 </w:t>
            </w:r>
            <w:r w:rsidR="00000000" w:rsidRPr="00000000" w:rsidDel="00000000">
              <w:rPr>
                <w:sz w:val="24"/>
                <w:i w:val="1"/>
                <w:rtl w:val="0"/>
              </w:rPr>
              <w:t xml:space="preserve">euro</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rādītāji</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2024. gada 31.decembrim apstiprinātas saistības  vismaz  48 000 000 </w:t>
            </w:r>
            <w:r w:rsidR="00000000" w:rsidRPr="00000000" w:rsidDel="00000000">
              <w:rPr>
                <w:sz w:val="24"/>
                <w:i w:val="1"/>
                <w:rtl w:val="0"/>
              </w:rPr>
              <w:t xml:space="preserve">euro </w:t>
            </w:r>
            <w:r w:rsidR="00000000" w:rsidRPr="00000000" w:rsidDel="00000000">
              <w:rPr>
                <w:sz w:val="24"/>
                <w:rtl w:val="0"/>
              </w:rPr>
              <w:t xml:space="preserve">apmērā finansējuma nodrošināšanai projektiem: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Kompetences centru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11 250 000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pētniecībai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20 438 207 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Sadarbības tīkla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2 361 793 </w:t>
            </w:r>
            <w:r w:rsidR="00000000" w:rsidRPr="00000000" w:rsidDel="00000000">
              <w:rPr>
                <w:sz w:val="24"/>
                <w:i w:val="1"/>
                <w:rtl w:val="0"/>
              </w:rPr>
              <w:t xml:space="preserve">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Eiropai svarīgo kopīgo interešu 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13 950 000 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Atbalstītie sīkie (mikro), mazie, vidējie un lielie komersanti.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Kopējie rādītāji MK noteikumos iekļauti pamatojoties uz normatīvo dokumentu Atveseļošanas fonda plāna kopējie rādītāji, kas izstrādāti saskaņā ar Komisijas Deleģētās Regulu (ES) 2021/2106 ar kuru, nosakot atveseļošanas un noturības rezultātu pārskata kopējos rādītājus un detalizētos elementus, papildina Eiropas Parlamenta un Padomes Regulu (ES) 2021/241 (2021. gada 12. februāris), ar ko izveido Atveseļošanas un noturības mehānismu (turpmāk – Komisijas Regula Nr. 2021/241).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ietvaros atbalsta saņēmējam ir noteikti šādi nacionālie rādītāji, kas sasniedzami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publiskais finansējums un privātās investīcijas, kas papildina investīcijas ietvaros komercdarbības atbalstu inovācijām vai pētniecības un izstrādes projektiem,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un attīstības izdevumu apjoms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pētniecības un attīstības izdevumu apjoms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jaunradīto produktu, pakalpojumu un tehnoloģiju skaits pēc atbalsta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jaunradītie produkti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jaunradītie pakalpojumi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piesaistītais ārvalstu finansējums (no starptautiskām pētniecības programmām vai no ārvalstu partneriem) pētniecībai saimnieciskajā darbībā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projekta īstenošanu saistīto jaunradīto darba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jaunradīto darba vietu atalgojuma apmērs projekta ietvaros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komersanta ieguldījumi (</w:t>
      </w:r>
      <w:r w:rsidR="00000000" w:rsidRPr="00000000" w:rsidDel="00000000">
        <w:rPr>
          <w:i w:val="1"/>
          <w:rtl w:val="0"/>
        </w:rPr>
        <w:t xml:space="preserve">euro</w:t>
      </w:r>
      <w:r w:rsidR="00000000" w:rsidRPr="00000000" w:rsidDel="00000000">
        <w:rPr>
          <w:rtl w:val="0"/>
        </w:rPr>
        <w:t xml:space="preserve">) pētniecībā un attīstībā ārpus pētniecības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pētniecības projekta pabeigšanas saimnieciskajā darbībā sekmīgi ieviesto jaunradīto produktu, pakalpojumu vai tehnoloģiju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komersanta noslēgtie licences līgumi (skaits) par pētniecības projekta īstenošanas rezultātā radītā intelektuālā īpašuma komercializēšanu;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komersanta neto apgrozījums (</w:t>
      </w:r>
      <w:r w:rsidR="00000000" w:rsidRPr="00000000" w:rsidDel="00000000">
        <w:rPr>
          <w:i w:val="1"/>
          <w:rtl w:val="0"/>
        </w:rPr>
        <w:t xml:space="preserve">euro</w:t>
      </w:r>
      <w:r w:rsidR="00000000" w:rsidRPr="00000000" w:rsidDel="00000000">
        <w:rPr>
          <w:rtl w:val="0"/>
        </w:rPr>
        <w:t xml:space="preserve">) no pētniecības projekta rezultāta ieviešanas saimnieciskajā darbībā vai komercializēšanas;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pētniecības projektos iesaistīto doktorantu un doktoru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 jaunie zinātnieki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 maģistranti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 jaunie zinātnieki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 maģistranti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zinātniskais personāls –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 jaunie zinātnieki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 maģistranti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 jaunie zinātnieki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 maģistranti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zinātnes tehniskais personāls – doktoranti un doktora grāda pretendenti (pilna laika ekvivalents);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zinātnisko publikāciju un konferenču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zinātnisko publikāciju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zinātnisko konferenču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ietvaros jaunradīto produktu, pakalpojumu vai tehnoloģiju neto apgrozījums (</w:t>
      </w:r>
      <w:r w:rsidR="00000000" w:rsidRPr="00000000" w:rsidDel="00000000">
        <w:rPr>
          <w:i w:val="1"/>
          <w:rtl w:val="0"/>
        </w:rPr>
        <w:t xml:space="preserve">euro</w:t>
      </w:r>
      <w:r w:rsidR="00000000" w:rsidRPr="00000000" w:rsidDel="00000000">
        <w:rPr>
          <w:rtl w:val="0"/>
        </w:rPr>
        <w:t xml:space="preserve">) salīdzinājumā ar pirmo projekta īstenošanas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ietvaros jaunradīto produktu, pakalpojumu vai tehnoloģiju eksports (</w:t>
      </w:r>
      <w:r w:rsidR="00000000" w:rsidRPr="00000000" w:rsidDel="00000000">
        <w:rPr>
          <w:i w:val="1"/>
          <w:rtl w:val="0"/>
        </w:rPr>
        <w:t xml:space="preserve">euro</w:t>
      </w:r>
      <w:r w:rsidR="00000000" w:rsidRPr="00000000" w:rsidDel="00000000">
        <w:rPr>
          <w:rtl w:val="0"/>
        </w:rPr>
        <w:t xml:space="preserve">) salīdzinājumā ar pirmo projekta īstenošanas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ārējie izdevumi pētniecības darbiem, kas pasūtīti citās iestādēs, saimnieciskās darbības veicējos, organizācijās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kapitālizdevumi – ēkas, iekārtas, intelektuālā īpašuma tiesības, datoru programmatūra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radītie rūpnieciskā īpašuma objekti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radītie rūpnieciskā īpašuma objekti – patents un patentu pieteikumi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radītie rūpnieciskā īpašuma objekti – augu šķirne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radītie rūpnieciskā īpašuma objekti – reģistrēts dizainparaugs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radītie rūpnieciskā īpašuma objekti – pusvadītāja izstrādājums vai tā pieteikums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radītie rūpnieciskā īpašuma objekti – preču zīme (ieskaitot kolektīvās zīmes) un sertifikācijas zīme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ietvaros ir noteikts intervences lauks “008 - Pētniecības un inovācijas pasākumi”. Kods pēc būtības nosaka, ka projekts galvenokārt vērsts uz pētniecības un inovācijas pasākumu kopumu, lai izstrādātu jaunu produktu, tehnoloģiju un pakalpojumu. Projekta ietvaros intervences kods nav jānorāda.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tā pielikumi un anotācija izstrādāti balstoties uz 2023. gada 26. septembra Ministru kabineta apstiprināto rīkojumu "Par Latvijas Atveseļošanas un noturības mehānisma plāna papildinājumu"  Atveseļošanas fonda plāna grozījumi Eiropas Komisijai tika iesniegti 2023.gada 15.novembrī, savukārt 2023. gada 8.decembrī tika pieņemts Eiropas Parlamenta un Padomes īstenošanas lēmums, ar ko groza Īstenošanas lēmumu (2021. gada 13. jūlijs) par Latvijas atveseļošanas un noturības plāna novērtējuma apstiprināšanu, kas publicēts 2023.gada 11.decembrī. Atveseļošanas fonda plāna grozījumu ietvaros veikti precizējumi 157. un 158. rādītājos.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 tiek izstrādā atbilstoši 157. rādītāja pārbaudes mehānismam, kā ietvaros nozares ministrija izstrādā kopsavilkuma dokumentu, kurā pienācīgi pamatots, kā tika apmierinoši sasniegts atskaites punkts, kopā ar atbilstošām saitēm uz pamatojošajiem pierādījumiem. Šā dokumenta pielikumā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Ministru kabineta noteikumu kopiju, kas reglamentē atbalsta saņēmēju darbību un finansēšanu, iekļaujot atsauci uz noteikumiem, kas norāda uz spēkā stāšanos un pierāda atbilstību atskaites punkta aprakstam un ieguldījumiem CID;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saite uz konkursa uzsaukumu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starp Latvijas aģentūru un finansējuma saņēmējiem noslēgto līgumu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atlasīto IPCEI dalībnieku sarakstu un īsus IPCEI projektu aprakstus.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158.rādītāju, pieteikti grozījumu rādītāja nosaukuma maiņai no “5.1.1.2.i. Atbalsta instruments inovāciju klasteru attīstībai” uz “5.1.1.2.i. Atbalsta instruments   pētniecībai un internacionalizācijai”, precizēts rādītāja nosaukums no “Apstiprināti projekti par vismaz 98 miljoniem EUR no finansējuma” uz “Apstiprinātas saistības par vismaz 98 000 000 EUR no finansējuma” un precizēts rādītāja izpildes termiņš no “2026.gada 30.jūnijs” uz “2025.gada 30.jūnijs”.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izstrādāti, ņemot vērā Atveseļošanas fonda plānā noteikto 5.1.r. reformā noteiktos atklātos stratēģiskās autonomijas un drošības jautājumus. Finansējuma izdale atsevišķos ceturtās kārtas noteikumos nodrošināta atbilstoši Atveseļošanas fonda plānā 5.1.r. reformā noteiktajam par pārrobežu un daudzvalstu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6.1. un 6.2. apakšpunktā minētās saistības starp Aģentūru un atbalsta saņēmēju ir apstiprinātas, ja noslēgts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II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pētniecības projektiem tiek piešķirts jaunu, inovatīvu produktu izstrādei un attīstībai, atbalstot tos projektus, kas atbilst Tehnoloģiju gatavības līmeņiem (TRL) TRL 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 2021/241, Atveseļošanas fonda plānā iekļautajiem pasākumiem nevajadzētu nodarīt būtisku kaitējumu sešiem vides mērķiem Eiropas Parlamenta un Padomes 2020. gada 18. jūnija Regulas (ES) Nr. 2020/852 par regulējuma izveidi ilgtspējīgu ieguldījumu veicināšanai un ar ko groza Regulu (ES) 2019/2088  17. panta nozīmē, proti, projekta iesniedzējs nodrošina, ka projekts  atbilst  principam “nenodarīt būtisku kaitējumu”. MK noteikumu ietvaros  norādītās prasības noteiktas saskaņā ar Atveseļošanas fonda 1. pielikuma principa “nenodarīt būtisku kaitējumu” novērtējumu un tā ievērošanu saskaņā ar Eiropas Komisijas 2021.gada 18.februāra paziņojumu Nr. 2021/C58/01 “Tehniskie norādījumi par principa “nenodarīt būtisku kaitējumu” piemērošanu saskaņā ar Komisijas Regulā Nr. 2021/241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investīcijas atbilstību Tehniskajiem norādījumiem par principa “nenodarīt būtisku kaitējumu” ievērošanu (2021/C58/01), atbalstu nepiešķir, ja projekta pieteikumā paredzētas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siltumnīcefekta gāzu emisiju radīšanu,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atkritumu poligoniem, izņemot gadījumus, ja gala labuma guvējs ir saņēmis atļauju šo darbību veikšanai, sadedzināšanas iekārtām un mehāniski bioloģiskās apstrādes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atkritumu savākšanas, uzglabāšanas, apstrādes, pārstrādes un apglabāšanas iekārtu un to programmatūru iegādi un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ūdensobjektu labam stāvoklim vai to labam ekoloģiskajam potenciālam, ieskaitot virszemes ūdeņus un gruntsūdeņus, vai jūras ūdeņu labam vides stāvoklim,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vides piesārņojuma novēršanai un kontrolei,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bioloģiskās daudzveidības un ekosistēmu aizsardzībai un atjaunošanai, ja minētā darbība kaitē ekosistēmu labam stāvoklim un izturētspējai, vai kaitē dzīvotņu un sugu, tostarp Eiropas Savienības nozīmes dzīvotņu un sugu, aizsardzības statusam, izņemot gadījumus, ja gala labuma guvējs ir saņēmis atļauju 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Atveseļošanas un noturības mehānisma plāna 1. pielikumu “Principa Nenodarīt būtisku kaitējumu novērtējums” 5.1.1.2.i. investīcijas ceturtās kārtas ietvaros nav atļautas investīciju projekta darbības, kas var radīt būtisku kaitējumu videi. Attiecībā uz principa “nenodarīt būtisku kaitējumu” izvērtēšanu, kur projektu iesniegumu vērtēšanas komisija veic sadarbības partnera izvērtējumu, vērtēšanu veicot saskaņā Komisijas Regulu Nr. 2021/241, noteikto izvērtējumu veicot par investīcijas ietvaros iekļautajiem vides mērķiem. Atļaujas, kas saistītas ar principa “nenodarīt būtisku kaitējumu” ietvaros noteiktajiem vides mērķiem, izsniedz atbildīgā valsts iestāde, kas nodrošina uzraudzību par vides prasību ievērošanu, piemēram, Valsts vides dienests, kompetences ietvaros veicot komersanta atbilstības izvērtēšanu atļaujas saimnieciskās darbības veikšanai saņemšanai. Tādējādi, projektu iesniegumu vērtēšanas komisijas pārstāvis izvērtēšanas ietvaros attiecībā uz principa “nenodarīt būtisku kaitējumu” ievērošanu pārliecinās, vai atbalsta saņēmēja darbība ir saistīta ar kādu no vides mērķiem un, ja darbība ir saistīta ar kādu no tiem, veic pārbaudi Valsts vides dienesta publiskajā datu bāzē par spēkā esošas atļaujas 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paredzējis projekta ietvaros MK noteikumu 56.3.2. apakšpunktā papildus intensitāti, tad projekta iesniegumā iekļauj informāciju, ka atbalsta saņēmējs apņemas savlaicīgi EEZ ieinteresētajām personām par tirgus cenu, neekskluzīvi un nediskriminējoši darīt pieejamas licences attiecībā uz projektos veiktās pētniecības rezultātiem, kuri ir aizsargāti ar intelektuālā īpašuma tiesībām. Ja atbalsta saņēmējs projekta ietvaros īstenojis nosacījumus, lai saņemtu MK noteikumu 58.3.2. apakšpunktā papildus intensitāti, tad atbalsta saņēmējs progresa pārskatā iekļauj pamatojošu informāciju vai dokumentus, kas apliecina, ka atbalsta saņēmējs savlaicīgi EEZ ieinteresētajām personām par tirgus cenu, neekskluzīvi un nediskriminējoši darījis pieejamas licences attiecībā uz projektos veiktās pētniecības rezultātiem, kuri ir aizsargāti 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pētniecības rezultātiem saprotami tādi rezultāti, kuri radušies pētniecības procesa ietvaros. Pētniecības rezultāti uzskatāmi par sasniegtiem arī tad, ja atbilstoši MK noteikumu 74.punktam, projekts pārtraukts pirms termiņa un atbalsta saņēmējs sniedzis attiecīgu pamatojumu par līdz starpposma pārskatam vai gala noslēguma pārskatam sasniegtiem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III Attiecināmās izmaksas un izmaksas, kas netiek segtas no Atveseļošanas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saskaņā ar Komisijas Regulas Nr. 651/2014 nosacījumiem un MK noteikumu 43.punktu, ir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darba samaksa un ar to saistītās valsts sociālā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komandējuma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komunālie pakalpojumi un sakaru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telpu nomas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instrumentu, iekārtu, aprīkojuma noma un amortizācija;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plānotie materiāli, ciktāl tiek izmantoti pētniecības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izmaksas par līgumpētījumiem un patentiem, ciktāl attiecas uz konkrētā pētniecības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ārējie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datu iegāde un abonēšana.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 īpašumā esošo instrumentu, iekārtu un to aprīkojuma amortizācijas izmaksas, finanšu nomā iegādāto iekārtu amortizācijas izmaksas, ciktāl tos izmanto pētniecības vai tehniski ekonomiskās priekšizpētes darbībām, atbilstoši Komisijas regulas Nr. 651/2014 25. panta 3. punkta “b” apakšpunktam, patentu un licenču amortizācijas izmaksas, ciktāl tos izmanto pētniecības projektā, atbilstoši Komisijas regulas Nr. 651/2014 25. panta 3. punkta “d” apakšpunktam, atbalsta saņēmēja īpašumā esošo ēku amortizācijas izmaksas un zemes komerciālās nodošanas izmaksas vai faktiski veikto kapitālieguldījumu izmaksas, atbilstoši Komisijas regulas Nr. 651/2014 25. panta 3. punkta “c” apakšpunktam.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šī vai cita atbalsta pasākuma vai projekta ietvaros. Patentu un licenču amortizācijas izmaksas var būt attiecināmas tikai tad, ja tās iegādātas pēc projekta iesnieguma iesniegšanas Kohēzijas politikas fondu vadības informācijas sistēmā (turpmāk - Vadības informācijas sistēmā).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projekta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attiecināšana iespējama sākot ar dienu, kad projekta iesniegums iesniegts Vadības informācijas sistēmā, projekta iesniedzējam uzņemoties risku visas radušās izmaksas segt no saviem līdzekļiem, ja Aģentūra noraida projekta iesniegumu. Projekta ietvaros ir attiecināmas arī izmaksas, kas radušās pēc projekta iesnieguma iesniegšanas Vadības informācijas sistēmā, bet vēl pirms noslēgtā līguma vai vienošanās par projekta īstenošanu. Papildu izmaksas, kas netiek segtas no Atveseļošanas fonda līdzekļiem, tiek norādītas privātā līdzfinansējuma daļā un Aģentūra tās nepārbauda. Ņemot vērā, ka Aģentūras pienākums ir pārliecināties par publiskā finansējuma izlietojumu, tad privātā finansējuma daļas pārbaude nav Aģentūras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atbilstoši Komisijas regulas Nr.651/2014 2.panta 23.punktam “darbu sākums” ir ar ieguldījumu saistītu būvdarbu sākums vai pirmā juridiski saistošā apņemšanās pasūtīt aprīkojumu, vai citas saistības, kas padara ieguldījumu neatgriezenisku, – atkarībā no tā, kas notiek pirmais. Vienlaicīgi zemes pirkšanu un tādus sagatavošanās darbus kā atļauju saņemšana un priekšizpētes veikšana neuzskata par darbu sākumu. Attiecībā uz pārņemšanu “darbu sākums” ir brīdis, kad tiek iegādāti aktīvi, kas ir tieši saistīti ar iegādāto uzņēmējdarbības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pirms atbalsta pretendents ir iesniedzis atbalsta pieteikumu Vadības informācijas sistēmā, atbalsta pretendents var izsludināt iepirkumu konkrētu darbību veikšanai, kas būs nepieciešamas projekta īstenošanai, tomēr tas nedrīkst noslēgt līgumu par šo darbību veikšanu ar iepirkumā izraudzīto pakalpojuma sniedzēju, jo tādējādi tas būs uzņēmies juridiskas saistības, kas izraisa tiesiskas sekas attiecībā uz plānoto ieguldījumu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atsevišķi priekšdarbi, piemēram, topogrāfiskā plāna izstrāde, atļaujas saņemšana, sarunu vešana minētās definīcijas ietvaros nav uzskatāma par darbu sākumu un nepārkāpj stimulējošas ietekmes noteikumu ievērošanu Komisijas regulas Nr.651/2014 2.panta 23.punkta un 6.panta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izmaksas, kas saistītas ar publicitātes pasākumiem stratēģiskā projekta ietvaros, saskaņā ar MK noteikumu 63.2. apakšpunktu, nerada riskus MK noteikumu 6.1. un 6.2. apakšpunktā noteikto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projekta veikšanai nepieciešamo privāto līdzfinansējumu nevar ieguldīt natūrā.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ja nepieciešams, veic sociāli atbildīgo publisko iepirkumu, atbilstoši Iepirkumu uzraudzības biroja Vadlīnijām sociāli atbildīga publiskā iepirkuma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ietvaros nav iespējams attiecināt pievienotās vērtības nodokli. Atbalsta saņēmējs pievienotās vērtības nodokli sedz no saviem līdzekļiem, kas ir brīvi no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Pamatlīdzekļiem, kas iegādāti no  2018.gada 1.janvāra, nolietojums jārēķina atbilstoši likuma “Par iedzīvotāju ienākuma nodokli” 11.</w:t>
      </w:r>
      <w:r w:rsidR="00000000" w:rsidRPr="00000000" w:rsidDel="00000000">
        <w:rPr>
          <w:vertAlign w:val="superscript"/>
          <w:rtl w:val="0"/>
        </w:rPr>
        <w:t xml:space="preserve">5</w:t>
      </w:r>
      <w:r w:rsidR="00000000" w:rsidRPr="00000000" w:rsidDel="00000000">
        <w:rPr>
          <w:rtl w:val="0"/>
        </w:rPr>
        <w:t xml:space="preserve"> panta prasībām. Pamatlīdzekļiem, kas iegādāti līdz 2018.gada 1.janvārim ir jāpiemēro iepriekšējais regulējums attiecībā uz normatīvajos aktos par uzņēmumu ienākuma nodokļa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atbalsta saņēmējs preču piegādātāja vai pakalpojuma sniedzēja izvēlei piemēro Ministru kabineta 2017.gada 28.februāra noteikumu Nr.104 "Noteikumi par iepirkuma procedūru un tās piemērošanas kārtību pasūtītāja finansētiem projektiem" noteikto kārtību vai publiskā iepirkuma regulējuma nosacījumus. Iepirkumu ietvaros atbalsta saņēmējs pārliecinās, ka līdzfinansēto preču un pakalpojumu izmaksas atbilst tirgus cenai un nepastāv interešu konflikts piegādātāja vai pakalpojumu sniedzēja izvēlē.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komandējuma izmaksas attiecināmas saskaņā ar Ministru kabineta 2010. gada 12. oktobra noteikumiem Nr.969 “Kārtību,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IV Projektu iesniegumu vērtēšanas kritēriji un atlases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investīcijas ceturtās kārtas ietvaros notiek viena līmeņa atklātas procedūras atlase. Atbalsta saņēmēja atlasi veic Aģentūra atklātā projektu iesniegumu atlasē. Projekta iesniegumus Aģentūra vērtē atbilstoši MK noteikumu 1. pielikuma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izslēgšanas kritēriji (nav sods vai tiesas spriedums, kas kļuvis neapstrīdams vai nepārsūdzams, nav pasludināts maksātnespējas process, nav neizpildīts līdzekļu atgūšanas rīkojums, neatbilst 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 pirmajā daļā noteiktajām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atbilstības kritēriji (atbilstība iesniedzēju lokam, iekļauti pielikumi, nodokļu parāda pārbaude, projekta iesniegumā norādīta informācija par finanšu kapacitāti, aprakstīt mērķis, noteikts finanšu aprēķins, aprakstītas plānotās darbības, pamatoti sagaidāmie rezultāti, projekta īstenošanas termiņš, ņemti vērā MK noteikumu ietvaros projekta iesniedzējam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MK noteikumu ietvaros nevar kandidēt uz Atveseļošanas fonda finansējumu, ja tas nav saņēmis Latvijas investīciju un attīstības aģentūras atbalsta vēstuli dalībai IPCEI un Eiropas Komisijas vai IPCEI koordinatora informāciju vai dokumentu, kas apliecina IPCEI uzsākšanu. Informācija, kas apliecina IPCEI uzsaukšanu varētu būt arī Eiropas Komisijas mājaslapā publicēta informācija par IPCEI uzsaukumu un tajā iekļautajiem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iesniegumu iesniedz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finansējuma ietvaros Aģentūra kā atbildīgā iestāde par investīciju projektu iesniegumu atlasi pārliecinās, ka projekta iesniedzējs neatbilst šādām prasībām (Aģentūra vērtē uz brīdi, kad Aģentūra pieņem lēmumu par projekta iesniedzēja atbilstību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nav grūtībās nonākušu uzņēmumu statusā uz komercdarbības atbalsta piešķiršana brīdi. Izvērtējums tiek veikts uz projekta iesnieguma iesniegšanas dienu un lēmuma par projekta iesnieguma apstiprināšanas dienu vai atzinuma par nosacījumu izpildi pieņemšanas dienu pamatā, ja ir bijis pieņemts lēmums par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Aģentūra pārbauda informāciju par VID administrēto nodokļu parādu statusu VID (nodevu) parādnieku datubāzē, ka projekta iesniedzējam nav VID administrēto nodokļu parāda, tajā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Katram projekta iesniedzējam nodokļu pārbaudes balstoties uz VID publiskojamo datu bāzes sadaļā “Nodokļu parādnieki” pieejamo aktuālo informāciju projekta iesnieguma un ja attiecināms, precizētā projekta iesnieguma iesniegšanas dienā Aģentūrā, ņemot vērā, ka informācija par veikto nodokļu nomaksu VID parādnieku datu bāzē tiek aktualizēta un publicēta ar divu darba dienu nobīdi. Ja nodokļu maksātājam pēdējā aktualizācijas datumā ir nodokļu parāds uz brīdi, kad Aģentūra pieņem lēmumu par atbalsta saņēmēja atbilstību komercdarbības atbalsta nosacījumiem, tad Aģentūra lūdz iesniegt atbalsta saņēmēju VID lēmumu par nodokļu maksājumu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kas pasākuma ietvaros sniegts saskaņā ar Komisijas Regulas Nr. 651/2014 25. pantu, var apvienot ar citā komercdarbības atbalsta programmā vai individuālā atbalsta projektā sniegto atbalstu dažādām nosakāmām vai vienām un tām pašām attiecināmajām izmaksām,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651/2014 25. panta 5. punkta , “b”, “c”, “d” apakšpunktiem, 6. punkta “a”, “b” un “d” apakšpunktiem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stimulējošās ietekmes prasības tiks ievērotas atbilstoši Komisijas Regulas Nr. 651/2014 6.panta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atbilst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saņēmējs neatbilst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pamatojoties uz projektu iesniegumu vērtēšanas komisijas sniegto atzinumu, pieņem lēmumu par projekta iesnieguma apstiprināšanu, apstiprināšanu ar nosacījumu vai noraidīšanu. Projekta iesniedzējs Aģentūras lēmumu par projekta iesniedzēja atbilstību komercdarbības atbalsta nosacījumiem var apstrīdēt Finanšu ministrijā un Finanšu ministrijas pieņemto lēmumu var pārsūdzēt Administratīvajā rajona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vērtēšanas komisija projekta iesniegumu vērtē un Aģentūra lēmumu par projekta iesniedzēja atbilstību komercdarbības atbalsta nosacījumiem pieņem projektu iesniegumu iesniegšanas secībā.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ar dalību projektu iesniegumu vērtēšanas komisijas sastāvā nodrošinās projektā sasniedzamā rezultāta vērtējumu, tai skaitā TRL līmeņa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un Aģentūra iesaistās projekta īstenošanā un uzraudzībā atbilstoši Ministru kabineta 2021. gada 7. septembra noteikumu Nr. 621 "Eiropas Savienības Atveseļošanas un noturības mehānisma plāna īstenošanas un uzraudzības kārtība"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līguma starp atbalsta saņēmēju un Aģentūru parakstīšanas notiek projekta īstenošana un uzraudzība. Atbalsta saņēmējs iesniedz progresa pārskatus (maksājuma pieprasījumus) un atskaitās par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var būt juridiska persona, publisko personu un iestāžu reģistrā reģistrēta persona vai Zinātnisko institūciju reģistrā reģistrēta persona, kas atbilst MK noteikumu 31.1. apakšpunktā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sagatavo un iesniedz projektu iesniegumus Atveseļošanas fonda finansējuma saņemšanai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iesniedzēju atlases un līguma noslēgšanas ar Aģentūru, projekta iesniedzējam ir atbalsta saņēmēja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ir atbildīgs par projektu uzraudzības, datu ievades nodrošināšanu un interešu konflikta, korupcijas un krāpšanas, dubultā finansējuma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atklātā uzsaukumā vērtē projekta iesniegumus un pēc to izskatīšanas rindas kārtībā, primāri apstiprina tādu projekta iesniegumu, kas pirmais pēc laika zīmoga iesniegts Vadības informācijas sistēmā. Ja projekta iesniegumu vērtēšanas procesā Aģentūra pieņem lēmumu ar nosacījumu, atbalstu nākamajam projekta iesniedzējam varēs piešķirt, kad tiks pieņemts lēmums par iepriekšējā projekta iesnieguma apstiprināšanu vai noraidīšanu. Atveseļošanas fonda plāna finansējumu sadale plānota pēc MK noteikumu apstiprināšanas, kur atbalsta saņēmējs slēgs līgumu ar Aģentūru. Atklāts konkurss tiek nodrošināts visas investīcijas ietvaros, tik ilgi, kamēr pieejams Atveseļošanas fonda plāna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atklātu konkursu organizē ne ilgāk kā līdz 2025.gada 30. aprīlim un lēmumu par projekta iesniedzēja atbilstību komercdarbības atbalsta nosacījumiem pieņem ne vēlāk kā līdz 2025.gada 30.jūnijam. Ja izveidojas pieejamā Atveseļošanas fonda finansējuma atlikums, kas nav pietiekams secīgi nākamā projekta atbalstīšanai, ja tāds ir iesniegts, vai projekta iesniedzējs atsakās īstenot projektu ar samazinātu Atveseļošanas fonda finansējumu, tad Aģentūra noraida projekta iesniegumu un turpina nodrošināt atklātu uzsaukumu līdz pilna Atveseļošanas fonda finansējuma apguvei. Ja projektu iesniegumu atlases ietvaros pieejamais finansējums nav pietiekošs secīgi nākamā projekta īstenošanai un Aģentūra projekta iesniedzējam piedāvā īstenot projektu ar samazinātu finansējumu, projekta iesniedzējs 5 darbdienu laikā sniedz Aģentūrai atbildi par piekrišanu vai nepiekrišanu īstenot projektu ar samazinātu finansējumu. Ja Atveseļošanas fonda finansējums sadalīts pilnā apmērā un projektu iesniegumu atlase ir noslēgusies, tomēr atbalsta saņēmējs projekta īstenošanas procesā atsakās turpināt projektu, Aģentūra uzsauc jaunu atklātu konkursa uzsaukumu līdz pilnai finansējuma apguvei pie nosacījuma, ka Aģentūra projektu iesniegumu atlases termiņu nosaka līdz 2025.gada 30.aprīlim un lēmumu par projekta iesniedzēja atbilstību komercdarbības atbalsta nosacījumiem pieņem ne vēlāk kā līdz 2025.gada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projektu iesniegumus Atveseļošanas fonda atbalsta saņemšanai iesniedz Vadības informācijas sistēmā un projekta iesniegums tiek aizpildīts sistēmā tam paredzētos datu laukos, pievienojot papildus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Latvijas investīcijas un attīstības aģentūras izsniegto atbalsta vēstuli dalībai IPCEI;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Eiropas Komisijas vai IPCEI koordinatora informāciju vai dokumentu, kas apliecina IPCEI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apliecinājumu par Komisijas Regulas Nr. 651/2014 2. panta 18. punkta “c” apakšpunktā ietvertā nosacījuma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aktivitāšu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apliecinājumu, ka uz projektā paredzētajām darbībām nav attiecināmi MK noteikumu 32. un 40. punkta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projekta budžetā norādīto izmaksu aprēķina atšifrējumu, kas pamato plānoto izmaksu apmēru, tai skaitā informāciju par veiktajām tirgus aptaujām, statistikas datiem, pieredzi līdzīgos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ar Aģentūras lēmumu pieņemšanu par projekta iesnieguma apstiprināšanu (tai skaitā arī apstiprināšanu ar nosacījumiem u.c.) saprotams arī kā Aģentūras lēmums par atbilstību komercdarbības atbalsta nosacījumiem. Pēc tam, kad projekta iesniedzējs iesniedzis projekta iesniegumu Vadības informācijas sistēmā, Aģentūra ne vēlāk kā 20 dienu laikā kopš projekta iesnieguma saņemšanas izvērtē projekta iesniedzēja atbilstību komercdarbības atbalsta nosacījumiem, veic projekta iesnieguma vērtēšanu atbilstoši MK noteikumu 1. pielikumā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kritēriji tiek vērtēti atbilstoši Finanšu ministrijas izstrādāto vadlīniju “Vadlīnijas informatīvā ziņojuma vai Ministru kabineta noteikumu izstrādei par Eiropas Savienības Atveseļošanas un noturības mehānisma plāna reformas vai investīcijas ieviešanu” 31. punkta nosacījumiem, kas izriet no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Komisijas Regulas Nr. 2018/1046 un Eiropas Komisijas un Latvijas Republikas Atveseļošanas un noturības mehānisma nolīgumā ietvertajām prasībām. Normas ietveršana ir būtiska, lai novērstu tiesiskā regulējuma interpretācijas risku par Komisijas Regulas Nr. 2018/1046 136. panta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31.3.1., 31.3.2., 31.3.3. un 31.3.4. apakšpunktā minētos izslēgšanas kritērijus izvērtē atbilstoši Regulas Nr. 2018/1046 136. pantam un Aģentūra atbalstu var piešķirt projekta iesniedzējam, ja tas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iesniedzējam nav attiecināms jebkurš no šādiem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vai persona, kura ir projekta iesniedzēja valdes vai padomes loceklis vai prokūrists, vai persona, kura ir pilnvarota pārstāvēt projekta iesniedzēju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krāpšana, krāpšana automatizētā datu apstrādes sistēmā, apdrošināšanas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izvairīšanās no nodokļu un tiem pielīdzināto maksājumu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tādu preču un vielu, kuru aprite ir aizliegta vai speciāli reglamentēta, pārvietošana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tas ar tādu attiecīgā jomā kompetentas institūcijas lēmumu par sodu vai tiesas spriedumu, kas stājies spēkā un kļuvis nepārsūdzams,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 vai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tas ar tādu attiecīgajā jomā kompetentas institūcijas lēmumu vai tiesas spriedumu, kas stājies spēkā un kļuvis nepārsūdzams, ir atzīts par vainīgu konkurences tiesību pārkāpumā, kas izpaužas kā vertikālā vienošanās, kuras mērķis ir ierobežot pircēja iespēju noteikt tālākpārdošanas cenu, vai kā horizontālā karteļa vienošanās, izņemot gadījumu, ja attiecīgā institūcija, konstatējot konkurences tiesību pārkāpumu, par sadarbību iecietības programmas ietvaros projekta iesniedzēju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ir pasludināts tā maksātnespējas process, ierosināta tiesiskās aizsardzības procesa lieta vai tiek īstenots tiesiskās aizsardzības process, apturēta vai pārtraukta tā saimnieciskā darbība vai tas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pārbauda projekta iesniedzēja atbilstību MK noteikumu  31.3.5. un 31.3.6. apakšpunktā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tas atbilst 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 pirmajā daļā noteiktajām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to attiecas līdzekļu atgūšanas rīkojums, kas minēts Komisijas Regulas Nr. 651/2014 1. panta 4.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izslēgšanas kritēriju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šo kritēriju ir saprotama pārbaude saskaņā ar Krimināllikuma 326.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šāda izslēgšanas kritērija mērķis ir pārliecināties, ka personas (valdes, padomes locekļi) iepriekš nav veikuši šādus noziegumus valsts pārvaldē kā amatpersonas, jo tas var liecināt par šo personu negodprātību finanšu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kritēriji netiek attiecināti uz publiskām iestādēm, jo izslēgšanas kritēriju piemērošanas prakse tiek pārņemta no pieejas struktūrfondos – Eiropas Savienības fondu 2021.—2027. gada plānošanas perioda vadības likuma – un, ņemot vērā objektīvi pamatotu risku neesamību šajā jomā, nepieciešams mērķtiecīgi īstenot izslēgšanas kritēriju pārbaudes tikai attiecībā uz tiem subjektiem, kur šie riski ir padziļināti pārbaudāmi, tas ir, privāto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saskaņā ar zemāk norādītajām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57"/>
        <w:gridCol w:w="1526"/>
        <w:gridCol w:w="6207"/>
        <w:tblGridChange w:id="0">
          <w:tblGrid>
            <w:gridCol w:w="1457"/>
            <w:gridCol w:w="1526"/>
            <w:gridCol w:w="62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4 </w:t>
            </w:r>
            <w:r w:rsidR="00000000" w:rsidRPr="00000000" w:rsidDel="00000000">
              <w:rPr>
                <w:sz w:val="24"/>
                <w:rtl w:val="0"/>
              </w:rPr>
              <w:t xml:space="preserve">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w:t>
            </w:r>
            <w:r w:rsidR="00000000" w:rsidRPr="00000000" w:rsidDel="00000000">
              <w:rPr>
                <w:sz w:val="24"/>
                <w:vertAlign w:val="superscript"/>
                <w:rtl w:val="0"/>
              </w:rPr>
              <w:t xml:space="preserve">1</w:t>
            </w:r>
            <w:r w:rsidR="00000000" w:rsidRPr="00000000" w:rsidDel="00000000">
              <w:rPr>
                <w:sz w:val="24"/>
                <w:rtl w:val="0"/>
              </w:rPr>
              <w:t xml:space="preserve"> pants. Krāpšana automatizētā datu apstrādes sistēmā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r w:rsidR="00000000" w:rsidRPr="00000000" w:rsidDel="00000000">
              <w:rPr>
                <w:sz w:val="24"/>
                <w:vertAlign w:val="superscript"/>
                <w:rtl w:val="0"/>
              </w:rPr>
              <w:t xml:space="preserve">1</w:t>
            </w:r>
            <w:r w:rsidR="00000000" w:rsidRPr="00000000" w:rsidDel="00000000">
              <w:rPr>
                <w:sz w:val="24"/>
                <w:rtl w:val="0"/>
              </w:rPr>
              <w:t xml:space="preserve"> pants. Preču un vielu, kuru aprite ir aizliegta vai speciāli reglamentēta, pārvietošana pāri Latvijas Republikas valsts robežai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panta otrā daļa. Informatīvo deklarāciju iesniegšanas termiņu neievērošana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saskaņā ar likumu “Grozījumi Krimināllikumā” Krimināllikuma 322. pants ir svītrots, Krimināllikuma pārejas noteikumu 28. punktā noteiktais paredz piecu gadu noilguma perioda ievērošanu 322. panta piemērošanai, t.i., - ja kriminālprocess ierosināts līdz Krimināllikuma grozījumu stāšanās spēkā – 2022. gada 4. maijam, tad 322. pants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pārbaudot attiecīgās personas sodāmību Iekšlietu ministrijas Informācijas centra pārziņā esošajā valsts informācijas sistēmā “Sodu reģistrs”, un informāciju par to, ka attiecīgajai personai uz pieteikuma iesniegšanas brīdi nav aktuālu datu par tiesiskās aizsardzības procesiem, maksātnespējas (t.sk. bankrota, sanācija vai izlīguma) procesiem, likvidācijas procesu, apturētu vai pārtrauktu saimniecisko darbību, tiesvedību par bankrotu, piemērotu sanāciju vai izlīgumu, pārbauda Latvijas Republikas Uzņēmumu reģistrā. Vienlaikus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vielu, kuru aprite ir aizliegta vai speciāli reglamentēta, pārvietošana pāri Latvijas Republikas valsts robežai, kur projekta iesniedzējs, atbilstoši Krimināllikuma 190.</w:t>
      </w:r>
      <w:r w:rsidR="00000000" w:rsidRPr="00000000" w:rsidDel="00000000">
        <w:rPr>
          <w:vertAlign w:val="superscript"/>
          <w:rtl w:val="0"/>
        </w:rPr>
        <w:t xml:space="preserve">1</w:t>
      </w:r>
      <w:r w:rsidR="00000000" w:rsidRPr="00000000" w:rsidDel="00000000">
        <w:rPr>
          <w:rtl w:val="0"/>
        </w:rPr>
        <w:t xml:space="preserve"> pantam, veicis neatļautas darbības un ticis sodīts, taču neaizliedz veikt aktivitātes, ja projekta iesniedzējs saņēmis atļauju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Nr. 2021/241 nosaka, ka investīcijas ietvaros nepieciešamas nodrošināt, ka tiek novērsta, atklāta un labota krāpšana, korupcija un interešu konflikti un ka netiek pieļauta dubulta finansēšana no mehānisma un citām Eiropas Savienības programmām. Līdz ar to nozares ministrijai, atbalsta saņēmējiem jāveic atbilstīgus pasākumus, lai efektīvi novērstu, konstatētu un labotu interešu konfliktus, krāpšanu, korupciju, dubultā finansējuma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 Investīcijā iesaistīto pušu noteiktās prasības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MK noteikumu 79.punktā minēto tiesību ietvaros līdz 2026. gada 31. martam veic uz risku novērtējumu balstītu vismaz vienu uzraudzības pārbaudi. Nozares ministrija uzraudzības pārbaudes ietvaros pārbauda atbalsta saņēmēja atskaites punktus, kā arī projekta ietvaros noteiktos mērķu un uzraudzības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pārstāvim ir tiesības pieprasīt informāciju saistībā ar atbalsta saņēmēja projektu, kas var būt noderīgi ekonomiskās politikas veidošanai un papildinošu atbalsta instrumentu izveidošanai. Nozares ministrijas pārstāvis var lūgt iesniegt informāciju par pētniecības projekta rezultāta komercializēšanas rezultātiem, uzņēmuma attīstības virzieniem un citu informāciju. Iegūtā informācija palīdzēs veikt nepieciešamās izmaiņas atbalsta pasākumos, kas vērsti uz tautsaimniecības transformāciju. Atbalsta saņēmējam ir tiesības, to atbilstoši pamatojot, neizsniegt datus, kuru iegūšana nav pamatojama ar ekonomiskās politikas īstenošanas vai uzraudzības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 Investīcijas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tiek sniegts tādām projekta iesnieguma darbībām, kas tiek uzsāktas pēc projekta iesnieguma iesniegšanas dienas Vadības informācijas sistēmā, ko vērtē Aģentūra. Izmaksas ir attiecināmas no projekta iesnieguma iesniegšanas dienas Vadības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izmaksas iespējams attiecināt līdz 2027. gada 31. decembrim. Ja atbalsta saņēmējam izmaksas rodas pēc 2027. gada 31. decembra, tad izmaksas tiek segtas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iesniedz progresa pārskatu Aģentūrai ne biežāk kā reizi ceturksnī. Maksājuma pieprasījumā iekļauj tikai tādus pētniecības projekta izdevumus, kuri ir faktiski izlietoti pētniecības projektā. Atbalsta saņēmēja noslēgtajā līgumā ar Aģentūru tiek atrunātas minimālās prasības un biežums attiecībā uz progresa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Strīdi, kas rodas projekta īstenošanas laikā pēc līguma noslēgšanas, tiek risināti civiltiesiskā kārtībā un vispirms atbalsta saņēmējs iesniedz pretenziju Aģentūrā un, ja domstarpības neizdodas atrisināt sarunu ceļā, tad atbalsta saņēmējs var celt prasību pret Aģentūru vispārējās jurisdikcijas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nodrošina informācijas un publicitātes pasākumus saskaņā ar Komisijas Regulas Nr. 2021/241 34. pantu un Atveseļošanas fonda nolīguma 10.pantu un “Eiropas Savienības fondu 2021.–2027. gada plānošanas perioda un Atveseļošanas fonda komunikācijas un dizaina vadlīniju” 3. nodaļu “Atveseļošanas fonda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pieejamību un datu uzglabāšanu atbalsta saņēmējs nodrošina 10 gadus, sākot no atbalsta piešķiršanas brīža, savukārt Aģentūra un nozares ministrija nodrošina 10 gadus, sākot no dienas, kad ir piešķirts pēdējais atbalsts saskaņā ar komercdarbības atbalsta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pārliecinās, ka atbalsta saņēmējs neveic tādu pašu projektu citās Eiropas Savienības Struktūrfonda, Atveseļošanas fonda vai citās komercdarbības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Dubultā finansējuma riska novēršanai Aģentūra sekos līdzi, lai Atveseļošanas fonda investīcijā, ES fondu 2014. – 2020.gada plānošanas perioda Darbības programmas “Izaugsme un nodarbinātība” 1.2.1. specifiskā atbalsta mērķa “Palielināt privātā sektora investīcijas P&amp;A” 1.2.1.1. pasākuma “Atbalsts jaunu produktu un tehnoloģiju izstrādei kompetences centru ietvaros” pirmās, otrās un ceturtās projektu iesniegumu atlases kārtas īstenošanas noteikumi (turpmāk – 1.2.1.1.pasākumu) un Eiropas Savienības struktūrfondu un Kohēzijas fonda 2021.–2027. gada plānošanas perioda darbības programmas 1.2.1. specifiskā atbalsta mērķa “Pētniecības un inovāciju kapacitātes stiprināšana un progresīvu tehnoloģiju ieviešana uzņēmumiem” 1.2.1.1. pasākumu “Atbalsts jaunu produktu attīstībai un internacionalizācijai” ietvaros netiek īstenots viens un tas pats projekts vairākos atbalsta pasākumos. Papildus Aģentūra sekos līdzi, vai atbalsta saņēmējs neīsteno pētījumus vai eksperimentālās izstrādes, kas pēc būtības dublē aktivitātes, rezultātus un rezultātu mērķa tirgus, un pārbaudīs, vai Atveseļošanas fonda finansējuma ietvaros pētniecības projekta īstenošanā nav konstatējamas pazīmes, kas liecina par pieļautu dubultā finansējuma situāciju pret Eiropas Savienības kohēzijas politikas programmu 2021.–2027. gadam un Eiropas Savienības struktūrfondu un Kohēzijas fonda 2014.–2020. gada plānošanas perioda darbības programmu “Izaugsme un nodarbinātība”, tai skaitā pārbaudīt demarkāciju arī starp citiem publiskā finansējuma avotiem kā Eiropas Savienības Tehniskā atbalsta instrumenta programmu. Iepriekšminēto fondu pārbaudēs tiek veiktas pret Ekonomikas ministrijas programmām un pasākumiem. Demarkācija tiek skatīta tai skaitā pret Izglītības un zinātnes ministrijas plānotajiem pasākumiem Eiropas Savienības struktūrfondu un Kohēzijas fonda 2014.–2020. gada plānošanas perioda darbības, kā arī Eiropas Savienības kohēzijas politikas programmu 2021.–2027. gadam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saņēmējam ir pienākums nodrošināt nozares intereses pārstāvniecību starptautiski IPCEI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atbalsta saņēmējs var saņemt avansa maksājumu, kas nepārsniedz 30 procentus no kopēja investīcijas finansējuma apmēra, pamatojot tā sasaisti ar MK noteikumi  ietvaros noteiktajiem rādītājiem. Ja atbalsta saņēmējs vēlas saņemt vairākus avansus, tad nākamo avansu var saņemt pēc tam, kad iepriekšējais ir apgūts pilnā apmērā. Kopējā avansa maksājumu un starpposma pārskatu summa nedrīkst pārsniegt 90 procenti no kopējā investīcijas finansējuma. Noslēguma maksājumu iesniedz pēc projekta beigām par atlikušo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izmaksas iespējams attiecināt līdz 2027.gada 31.decembrim, ja ir sasniegti MK noteikumu 6.punktā minētie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Atveseļošanas fonda atbalsta saņēmējam ir pienākums atmaksāt Aģentūrai projekta ietvaros saņemto nelikumīgo komercdarbības atbalstu no līdzekļiem, kas ir brīvi no komercdarbības atbalsta,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Procenti ir aprēķināmi no dienas, kad nelikumīgais atbalsts pirmo reizi nodots atbalsta saņēmējam, līdz tā atgūšanas dienai. Minētajā gadījumā Aģentūrai ir tiesības no atbalsta saņēmēja saņemt kompensāciju atmaksātā nelikumīgā atbalsta – kopā ar procentiem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Aģentūrai ir tiesības starpposma un noslēguma maksājuma pieprasījuma vērtēšanas laikā pieaicināt ārējo ekspertu, lai pārbaudītu, vai projekta izmaksu tāmē norādītās attiecināmās izmaksas ir samērīgas un ekonomiski pamatotas.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pēc katra lēmuma par projekta iesniedzēja atbilstību komercdarbības atbalsta nosacījumiem pieņemšanas savā tīmekļvietnē atjauno aktuālo informāciju par atbalsta programmā pieejamā finansējuma atlikumu.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konflikts ir situācija, kad projektu iesniegumu vērtēšanas komisijas dalībnieks, vērtējot un apstiprinot projektus, pieņem lēmumu, piedalās lēmuma pieņemšanā vai Aģentūras pārstāvis vai Aģentūras piesaistīts eksperts veic citas saistītas darbības, kas ietekmē vai var ietekmēt projektu iesniegumu vērtēšanas komisijas dalībnieka, Aģentūras pārstāvja vai Aģentūras piesaistīta eksperta, tā radinieka vai darījumu partnera personiskās vai mantiskās intereses. Par interešu konfliktu ir uzskatāms, ja iesaistīto personu pienākumu neatkarīgu un objektīvu pildīšanu negatīvi ietekmē iemesli, kas saistīti ar ģimeni, jūtu dzīvi, politisko piederību vai valstspiederību, mantiskajām vai jebkādām citām tiešām vai netiešām personīgajām interesēm, kas attiecīgajai personai ir kopējas ar labuma saņēmēju, pamatojoties uz Komisijas Regulas 2018/1046 61.panta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saņēmējs nodrošina informācijas un publicitātes pasākumus saskaņā ar Eiropas Parlamenta un Padomes 2021. gada 12. februāra Regulas Nr. 2021/241 34. pantu un Atveseļošanas fonda nolīguma 10.pantu, kā arī Eiropas Savienības fondu 2021.–2027. gada plānošanas perioda un Atveseļošanas fonda komunikācijas un dizaina vadlīnijām un “Eiropas Savienības fondu 2021.–2027. gada plānošanas perioda un Atveseļošanas fonda komunikācijas un dizaina vadlīniju” 3. nodaļu “Atveseļošanas fonda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finansējuma ieviešanas progresu un datu pieejamību un to apstrādi nodrošina atbilstoši Ministru kabineta 2021. gada 7. septembra noteikumu Nr. 621 “Eiropas Savienības Atveseļošanas un noturības mehānisma plāna īstenošanas un uzraudzības kārtība”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nodrošina informāciju par atbalstu, kas sniegts saskaņā ar MK noteikumi  2.1. apakšpunktu, publicē atbilstoši Komisijas Regulas Nr. 651/2014 9. panta 1. punkta “c” apakšpunktā un 4. punktā noteiktajām publicitātes pasākumus prasībām un atbilstoši normatīvajiem aktiem par kārtību, kādā publicē informāciju par sniegto komercdarbības atbalstu un piešķir un anulē elektroniskās sistēmas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pusgada progresa ziņojuma sagatavošanai par Atveseļošanas fonda plāna izpildi, pamatojoties uz Atveseļošanas fonda darbības kārtību (Operational arrangements), izmanto šādus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saņēmēja saraksts, norādot nosaukumu, reģistrācijas numuru, projekta nosaukumu un īsu projekta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kopija, kas apliecina apstiprināto Atveseļošanas fonda finansējumu projektiem, izmantojot Vadības informācijas sistēmā pieejamo informāciju, ko nodrošina atbalsta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vai pētniecības un zināšanu izplatīšanas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kā pētniecības un zināšanu izplatīšanas organizācijām, nodrošinot valsts atbalsta saņemšanas iespējas, kas nepieciešamas pētniecības, inovāciju un attīstības aktivitāšu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kā pētniecības un zināšanu izplatīšanas organizācijām, nodrošinot valsts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nozares ministrijas aplēsēm, tiek prognozēts, ka 5.1.1.2.i. investīcijas ceturtās kārtas ietvaros būs šādi sagaidāmie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programmas ietvaros varētu tikt atbalstīti 8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jaunradīti un izstrādāti 8 jauni produkti, pakalpojumi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komersantu apgrozījuma pieaugums pētniecības projekta noslēgšanas gadā pret pētniecības projekta uzsākšanas gadu - 65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komersantu eksporta pieaugums pētniecības projekta noslēgšanas gadā pret pētniecības projekta uzsākšanas gadu - 45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izveidotas 35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piesaistītais privāto investīciju apmērs vismaz 20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veicinās finansējumu pieejamību saimnieciskās darbības veicējiem, attiecīgi MK noteikumi  radīs pozitīvu ietekmi mazajiem, vidējiem un lieliem uzņēmumiem kā pētniecības un zināšanu izplatīšanas organizācijām, nodrošinot iespēju plašākam potenciālā atbalsta saņēmēja lokam saņemt atbalstu, lai veicinātu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kā pētniecības un zināšanu izplatīšanas organizācijām, nodrošinot komercdarbības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nozares ministrijas aplēsēm, tiek prognozēts, ka 5.1.1.2.i. investīcijas ceturtās kārtas ietvaros būs šādi sagaidāmie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programmas ietvaros varētu tikt atbalstīti 8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jaunradīti un izstrādāti 8 jauni produkti, pakalpojumi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komersantu apgrozījuma pieaugums pētniecības projekta noslēgšanas gadā pret pētniecības projekta uzsākšanas gadu - 65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komersantu eksporta pieaugums pētniecības projekta noslēgšanas gadā pret pētniecības projekta uzsākšanas gadu - 45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izveidotas 35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piesaistītais privāto investīciju apmērs vismaz 20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kā pētniecības un zināšanu izplatīšanas organizācijām, nodrošinot valsts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nozares ministrijas aplēsēm, tiek prognozēts, ka 5.1.1.2.i. investīcijas ceturtās kārtas ietvaros būs šādi sagaidāmie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programmas ietvaros varētu tikt atbalstīti 8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jaunradīti un izstrādāti 8 jauni produkti, pakalpojumi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komersantu apgrozījuma pieaugums pētniecības projekta noslēgšanas gadā pret pētniecības projekta uzsākšanas gadu - 65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komersantu eksporta pieaugums pētniecības projekta noslēgšanas gadā pret pētniecības projekta uzsākšanas gadu - 45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izveidotas 35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piesaistītais privāto investīciju apmērs vismaz 20 milj.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radīs pozitīvu ietekmi mazajiem, vidējiem un lieliem uzņēmumiem kā pētniecības un zināšanu izplatīšanas organizācijām, nodrošinot valsts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5.1.1.2.i. investīcijas ceturtās kārtas ietvaros tiks izveidotas vismaz 35 jaunas darbavietas, nodrošinot zinātības pratību izplatīšanu Latvijas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iesniedzējs (komersants vai pētniecības un zināšanu izplatīšanas 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1 372,70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rezies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CFLA. Administratīvo izmaksu pamatojumam tiek ņemti vērā Centrālās statistikas pārvaldes 2022.gada dati "Vidējā neto darba samaksa" - 1372.70</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plānotais kopējais publiskais finansējums ir  31 000 000 </w:t>
            </w:r>
            <w:r w:rsidR="00000000" w:rsidRPr="00000000" w:rsidDel="00000000">
              <w:rPr>
                <w:sz w:val="24"/>
                <w:i w:val="1"/>
                <w:rtl w:val="0"/>
              </w:rPr>
              <w:t xml:space="preserve">euro</w:t>
            </w:r>
            <w:r w:rsidR="00000000" w:rsidRPr="00000000" w:rsidDel="00000000">
              <w:rPr>
                <w:sz w:val="24"/>
                <w:rtl w:val="0"/>
              </w:rPr>
              <w:t xml:space="preserve">, ko 100 procentu apmērā sastāda Atveseļošanas fonda finansējums. Investīcijas izdevumu attiecināmības termiņš ir līdz 2027. gada 31. decembrim.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sākot ar 2024. gadu 1.ceturksni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 (turpmāk - Komisijas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 (turpmāk - Regula Nr. 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un Latvijas Republikas Atveseļošanas un noturības mehānisma finansēšanas nolīguma 10.pantā noteiktajam, MK noteikumos iekļauta atbalsta saņēmēja saistību izpilde attiecībā uz informācijas un publicitātes prasību ievērošanas nodrošināšanu, atbalsta saņēmējam projekta īstenošanā nodrošinot ne mazāk kā vienu informatīvu pasākumu kā konference, seminārs vai cita veida informatīvu pasākumu.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 (turpmāk - Komisijas regula Nr.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 un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83.punkts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18.punkta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16.3. apakšpunkts</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 un 40.8.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85.punkts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86.punkts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87.punkts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1.panta 2.punkta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43.1., 43.2. un 43.3.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3.punkta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43.4.,  43.10., 43.11., 43.12. un 43.13.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3.punkta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43.5. un 43.9.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43.6., 43.7. un 43.9.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45.8., 45.9. un 45.13.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5. punkta "b", "c", "d" apakšpunkti, 6. punkta "a" apakšpunkts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2.panta 90.punkts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55.1. un 55.2.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6.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un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25.panta 5. punkta "b", "c", "d" apakšpunkts, 6. punkta "a", "b", "d" apakšpunkts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9.panta 1. punkta "c"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Divdesmit darba dienu laikā pēc Noteikumu projekta spēkā stāšanās Ekonomikas ministrija, izmantojot SANI2 sistēmu, iesniegs kopsavilkuma informāciju par programmu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2018/1046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2021/241 (2021. gada 12. februāris), ar ko izveido Atveseļošanas un noturības mehānismu (turpmāk - Regula Nr. 2021/241)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2021/241 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2021/241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https://www.em.gov.lv/lv/diskusiju-dokumenti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no  nevalstiskajām organizācijām (Latvijas Pārtikas uzņēmumu federācija, Latvijas Elektrotehnikas un elektronikas rūpniecības asociācija, Latvijas Elektroenerģētiķu un Energobūvnieku asociācija, Latvijas Kokrūpniecības federācija, Latvijas Informācijas un komunikācijas tehnoloģijas asociācija, Latvijas Ķīmijas un farmācijas uzņēmēju asociācija, Mašīnbūves un Metālapstrādes rūpniecības asociācija) tika saņemti priekšlikumi un iebildumi. Sniegtie priekšlikumi un iebildumi izvērtēti un konceptuāli izdiskutēti ar katru iesaistīto pusi.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5.1.1.2.i. investīciju tiks sekmēta viena no Nacionālā attīstības plāna mērķu izpildēm: Uzņēmumu izaugsme un konkurētspēja ir balstīta spējā uz zinātnes bāzes radīt un pārdot pieprasītus, zināšanu ietilpīgus produktus un pakalpojumus, iekļaujoties arvien augstākas pievienotās vērtības globālajās ķēdēs. Viedā specializācija, inovācija, tehnoloģiju attīstība un modernizācija, kā arī mērķtiecīgi ieguldījumi cilvēkkapitālā ir pamats produktivitātes kāpumam.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23-TA-1534</w:t>
    </w:r>
    <w:r>
      <w:br/>
    </w:r>
    <w:r w:rsidR="00000000" w:rsidRPr="00000000" w:rsidDel="00000000">
      <w:rPr>
        <w:rtl w:val="0"/>
      </w:rPr>
      <w:t xml:space="preserve">Izdrukāts 29.07.2026. 23.27 - 5.0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23-TA-1534</w:t>
    </w:r>
    <w:r>
      <w:br/>
    </w:r>
    <w:r w:rsidR="00000000" w:rsidRPr="00000000" w:rsidDel="00000000">
      <w:rPr>
        <w:rtl w:val="0"/>
      </w:rPr>
      <w:t xml:space="preserve">Izdrukāts 29.07.2026. 23.27 - 5.0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anotācija_(ex_ante)_23-TA-1534.docx</dc:title>
</cp:coreProperties>
</file>

<file path=docProps/custom.xml><?xml version="1.0" encoding="utf-8"?>
<Properties xmlns="http://schemas.openxmlformats.org/officeDocument/2006/custom-properties" xmlns:vt="http://schemas.openxmlformats.org/officeDocument/2006/docPropsVTypes"/>
</file>