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1. Tiesību akta projekta izstrādes nepieciešamība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Anotācijas (ex-ante)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Tiesību akta projekta "Par finanšu līdzekļu piešķiršanu no valsts budžeta programmas "Līdzekļi neparedzētiem gadījumiem"" sākotnējās ietekmes (ex-ante) novērtējuma ziņojums (anotācija)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1.1. Pamatojums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Izstrādes pamatojums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Ministrijas / iestādes iniciatīva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Nepieciešamība piešķirt papildu finanšu līdzekļus NATO Austrumu flanga valstu vadītāju sanāksmes norises nodrošināšanai, kuru rīko Valsts prezidenta kanceleja.  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Likuma par budžetu un finanšu vadību 12. panta pirmā daļa.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2018. gada 17. jūlija noteikumu Nr. 421 "Kārtība, kādā veic gadskārtējā valsts budžeta likumā noteiktās apropriācijas izmaiņas" 41. un 43. punkts.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1.2. Mērķis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Mērķa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finanšu līdzekļi nepieciešami NATO Austrumu flanga valstu vadītāju sanāksmes norises nodrošināšanai, kas notiks 2024. gada 2. ceturksnī, Rīgā. 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Spēkā stāšanās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Vispārējā kārtība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1.3. Pašreizējā situācija, 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Pašreizējā situācija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NATO Austrumu flanga valstu vadītāju sanāksmes formāts - Bukarestes devītnieks tika izveidots 2015. gadā kā platforma Bulgārijas, Čehijas, Igaunijas, Latvijas, Lietuvas, Polijas, Rumānijas, Slovākijas un Ungārijas valstu vadītāju apspriedēm.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NATO Austrumu flanga valstu vadītāju sanāksmē, kas notiks 2024. gada 2. ceturksnī, Rīgā, tiks koordinēti pašreizējos ģeopolitiskajos apstākļos Latvijas un reģiona drošībai un aizsardzībai būtiski jautājumi.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Sekmīgai un drošības prasībām atbilstoša pasākuma norisei Valsts prezidenta kancelejai nepieciešams papildu finansējums - transporta pakalpojumu izdevumu segšanai.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Risinājuma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Valsts prezidenta kancelejai 257 188 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transporta pakalpojumu segšanai.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izvērtēti alternatīvie risinājumi?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izvērtēts prasību un izmaksu samērīgums pret ieguvumiem?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1.4. Izvērtējumi/pētījumi, kas pamato TA nepieciešamību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1.5. Pēcpārbaudes (ex-post) izvērtējums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tiks veikts?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1.6.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2. Tiesību akta projekta ietekmējamās sabiedrības grupas, ietekme uz tautsaimniecības attīstību un administratīvo slogu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3. Tiesību akta projekta ietekme uz valsts budžetu un pašvaldību budžetiem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  <w:tblGridChange w:id="0">
          <w:tblGrid>
            <w:gridCol w:w="1205"/>
            <w:gridCol w:w="1205"/>
            <w:gridCol w:w="1205"/>
            <w:gridCol w:w="1205"/>
            <w:gridCol w:w="1205"/>
            <w:gridCol w:w="1205"/>
            <w:gridCol w:w="1205"/>
            <w:gridCol w:w="1205"/>
          </w:tblGrid>
        </w:tblGridChange>
      </w:tblGrid>
      <w:tr>
        <w:tc>
          <w:tcPr>
            <w:shd w:fill="ffffff"/>
            <w:vAlign w:val="bottom"/>
            <w:noWrap w:val="true"/>
            <w:vMerge w:val="restart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Rādītājs</w:t>
            </w:r>
          </w:p>
        </w:tc>
        <w:tc>
          <w:tcPr>
            <w:shd w:fill="ffffff"/>
            <w:vAlign w:val="center"/>
            <w:noWrap w:val="true"/>
            <w:vMerge w:val="restart"/>
            <w:gridSpan w:val="2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2024</w:t>
            </w:r>
          </w:p>
        </w:tc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Turpmākie trīs gadi (</w:t>
            </w:r>
            <w:r w:rsidR="00000000" w:rsidRPr="00000000" w:rsidDel="00000000">
              <w:rPr>
                <w:sz w:val="24"/>
                <w:b w:val="1"/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)</w:t>
            </w:r>
          </w:p>
        </w:tc>
      </w:tr>
      <w:tr>
        <w:tc>
          <w:tcPr>
            <w:shd w:fill="ffffff"/>
            <w:vAlign w:val="center"/>
            <w:noWrap w:val="true"/>
            <w:vMerge w:val="contin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vMerge w:val="continue"/>
            <w:gridSpan w:val="2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gridSpan w:val="2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2025</w:t>
            </w:r>
          </w:p>
        </w:tc>
        <w:tc>
          <w:tcPr>
            <w:shd w:fill="ffffff"/>
            <w:vAlign w:val="center"/>
            <w:noWrap w:val="true"/>
            <w:gridSpan w:val="2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2026</w:t>
            </w:r>
          </w:p>
        </w:tc>
        <w:tc>
          <w:tcPr>
            <w:shd w:fill="ffffff"/>
            <w:vAlign w:val="center"/>
            <w:noWrap w:val="true"/>
            <w:gridSpan w:val="1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2027</w:t>
            </w:r>
          </w:p>
        </w:tc>
      </w:tr>
      <w:tr>
        <w:tc>
          <w:tcPr>
            <w:shd w:fill="ffffff"/>
            <w:vAlign w:val="center"/>
            <w:noWrap w:val="true"/>
            <w:vMerge w:val="contin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saskaņā ar valsts budžetu kārtējam gadam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izmaiņas kārtējā gadā, salīdzinot ar valsts budžetu kārtējam gadam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saskaņā ar vidēja termiņa budžeta ietvaru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izmaiņas, salīdzinot ar vidēja termiņa budžeta ietvaru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saskaņā ar vidēja termiņa budžeta ietvaru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izmaiņas, salīdzinot ar vidēja termiņa budžeta ietvaru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izmaiņas, salīdzinot ar vidēja termiņa budžeta ietvaru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1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2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3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4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5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6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7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8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1. Budžeta ieņēmumi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1.1. valsts pamatbudžets, tai skaitā ieņēmumi no maksas pakalpojumiem un citi pašu ieņēmumi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1.2. valsts speciālais budžets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1.3. pašvaldību budžets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2. Budžeta izdevumi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257 188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2.1. valsts pamatbudžets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257 188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2.2. valsts speciālais budžets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2.3. pašvaldību budžets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3. Finansiālā ietekme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-257 188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3.1. valsts pamatbudžets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-257 188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3.2. speciālais budžets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3.3. pašvaldību budžets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4. Finanšu līdzekļi papildu izdevumu finansēšanai (kompensējošu izdevumu palielinājumu norāda ar "-" zīmi)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257 188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5. Precizēta finansiālā ietekme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5.1. valsts pamatbudžets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5.2. speciālais budžets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5.3. pašvaldību budžets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0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6. Detalizēts ieņēmumu un izdevumu aprēķins (ja nepieciešams, detalizētu ieņēmumu un izdevumu aprēķinu var pievienot anotācijas (ex-ante) pielikumā)</w:t>
            </w:r>
          </w:p>
        </w:tc>
        <w:tc>
          <w:tcPr>
            <w:shd w:fill="ffffff"/>
            <w:vAlign w:val="center"/>
            <w:noWrap w:val="true"/>
            <w:gridSpan w:val="7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6.1. detalizēts ieņēmumu aprēķins</w:t>
            </w:r>
          </w:p>
        </w:tc>
        <w:tc>
          <w:tcPr>
            <w:shd w:fill="ffffff"/>
            <w:vAlign w:val="center"/>
            <w:noWrap w:val="true"/>
            <w:gridSpan w:val="7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6.2. detalizēts izdevumu aprēķins</w:t>
            </w:r>
          </w:p>
        </w:tc>
        <w:tc>
          <w:tcPr>
            <w:shd w:fill="ffffff"/>
            <w:vAlign w:val="center"/>
            <w:noWrap w:val="true"/>
            <w:gridSpan w:val="7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Valsts prezidenta kancelejai nepieciešams piešķirt papildu finanšu līdzekļus 257 188 euro apmērā.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 </w:t>
            </w:r>
          </w:p>
          <w:tbl>
            <w:tblPr>
              <w:tblStyle w:val="DefaultTable"/>
              <w:bidiVisual w:val="0"/>
              <w:tblW w:w="8250.0" w:type="dxa"/>
              <w:tblInd w:w="0.0" w:type="dxa"/>
              <w:jc w:val="left"/>
              <w:tblBorders>
                <w:top w:color="auto" w:val="single" w:sz="5" w:space="0"/>
                <w:left w:color="auto" w:val="single" w:sz="5" w:space="0"/>
                <w:bottom w:color="auto" w:val="single" w:sz="5" w:space="0"/>
                <w:right w:color="auto" w:val="single" w:sz="5" w:space="0"/>
                <w:insideH w:color="auto" w:val="single" w:sz="5" w:space="0"/>
                <w:insideV w:color="auto" w:val="single" w:sz="5" w:space="0"/>
              </w:tblBorders>
              <w:tblLayout w:type="fixed"/>
              <w:tblLook w:val="0600"/>
            </w:tblPr>
            <w:tblGrid>
              <w:gridCol w:w="1567"/>
              <w:gridCol w:w="1543"/>
              <w:gridCol w:w="1514"/>
              <w:gridCol w:w="1467"/>
              <w:gridCol w:w="1407"/>
              <w:tblGridChange w:id="0">
                <w:tblGrid>
                  <w:gridCol w:w="1567"/>
                  <w:gridCol w:w="1543"/>
                  <w:gridCol w:w="1514"/>
                  <w:gridCol w:w="1467"/>
                  <w:gridCol w:w="1407"/>
                </w:tblGrid>
              </w:tblGridChange>
            </w:tblGrid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b w:val="1"/>
                      <w:rtl w:val="0"/>
                    </w:rPr>
                    <w:t xml:space="preserve">Marka, modelis (klasificēta informācija)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b w:val="1"/>
                      <w:rtl w:val="0"/>
                    </w:rPr>
                    <w:t xml:space="preserve">Marka, modelis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b w:val="1"/>
                      <w:rtl w:val="0"/>
                    </w:rPr>
                    <w:t xml:space="preserve">Skaits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b w:val="1"/>
                      <w:rtl w:val="0"/>
                    </w:rPr>
                    <w:t xml:space="preserve">Cena par norādītā pasākuma periodu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b w:val="1"/>
                      <w:rtl w:val="0"/>
                    </w:rPr>
                    <w:t xml:space="preserve">Kopā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Automašīna 1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10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5916.75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59167.50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Automašīna 2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58983.75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117967.50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Automašīna 3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12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887.25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10647.00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Automašīna 4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12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1186.50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14238.00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Automašīna 5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5916.75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5916.75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Automašīna 6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887.25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887.25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Automašīna 7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1186.50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1186.50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Automašīna 8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635.25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2541.00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Kopā EUR bez PVN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212551.50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PVN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44635.82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b w:val="1"/>
                      <w:rtl w:val="0"/>
                    </w:rPr>
                    <w:t xml:space="preserve">Kopā EUR ar PVN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b w:val="1"/>
                      <w:rtl w:val="0"/>
                    </w:rPr>
                    <w:t xml:space="preserve">257187.32</w:t>
                  </w:r>
                </w:p>
              </w:tc>
            </w:tr>
          </w:tbl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 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>7. Amata vietu skaita izmaiņas (palielinājuma gadījumā: izvērsts pamatojums, izvērtējums par esošo resursu pārskatīšanas iespējām, t.sk. vakanto štata vietu, ilgstošo vakanču izmantošanu u.c.)</w:t>
            </w:r>
          </w:p>
        </w:tc>
        <w:tc>
          <w:tcPr>
            <w:shd w:fill="ffffff"/>
            <w:vAlign w:val="center"/>
            <w:noWrap w:val="true"/>
            <w:gridSpan w:val="7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</w:tbl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Izdevumus sedz no valsts budžeta programmas 02.00.00 "Līdzekļi neparedzētiem gadījumiem".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4. Tiesību akta projekta ietekme uz spēkā esošo tiesību normu sistēmu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4.2.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5. Tiesību akta projekta atbilstība Latvijas Republikas starptautiskajām saistībām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5.3.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6. Projekta izstrādē iesaistītās institūcijas un sabiedrības līdzdalības process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Sabiedrības līdzdalība uz šo tiesību akta projektu neattiecas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6.1. Projekta izstrādē iesaistītās institūcijas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Valsts un pašvaldību institūcijas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Nevalstiskās organizācijas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6.2. Sabiedrības līdzdalības organizēšanas veidi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6.3. Sabiedrības līdzdalības rezultāti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6.4.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7. Tiesību akta projekta izpildes nodrošināšana un tās ietekme uz institūcijām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7.5.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8. Horizontālās ietekmes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 Projekta tiesiskā regulējuma ietekme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8.1.1. uz publisku pakalpojumu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8.1.2. uz valsts un pašvaldību informācijas un komunikācijas tehnoloģiju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8.1.3. uz informācijas sabiedrības politikas īstenošanu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8.1.4. uz Nacionālā attīstības plāna rādītājiem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8.1.5. uz teritoriju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8.1.6. uz vidi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8.1.7. uz klimatneitralitāti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8.1.8. uz iedzīvotāju sociālo situāciju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8.1.9. uz personu ar invaliditāti vienlīdzīgām iespējām un tiesībām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8.1.10. uz dzimumu līdztiesību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8.1.11. uz veselību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8.1.12. uz cilvēktiesībām, demokrātiskām vērtībām un pilsoniskās sabiedrības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8.1.13. uz datu aizsardzību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8.1.14. uz diasporu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8.1.15. uz profesiju reglamentāciju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8.1.16. uz bērna labākajām interesēm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8.2.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24-TA-1115</w:t>
    </w:r>
    <w:r>
      <w:br/>
    </w:r>
    <w:r w:rsidR="00000000" w:rsidRPr="00000000" w:rsidDel="00000000">
      <w:rPr>
        <w:rtl w:val="0"/>
      </w:rPr>
      <w:t xml:space="preserve">Izdrukāts 30.07.2026. 00.28 - 2.0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24-TA-1115</w:t>
    </w:r>
    <w:r>
      <w:br/>
    </w:r>
    <w:r w:rsidR="00000000" w:rsidRPr="00000000" w:rsidDel="00000000">
      <w:rPr>
        <w:rtl w:val="0"/>
      </w:rPr>
      <w:t xml:space="preserve">Izdrukāts 30.07.2026. 00.28 - 2.0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anotācija_(ex_ante)_24-TA-1115.docx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