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Pasākumu plāna atbalsta sniegšanai Ukrainas civiliedzīvotājiem Latvijas Republikā 2025.gadam (apstiprināts ar Ministru kabineta 2024.gada 18.decembra rīkojumu Nr.1109) (turpmāk – Plāns) 9.nodaļas “Sociālās integrācijas pasākumi” 9.5.pasākumu “Kultūrorientācijas jeb integrācijas kursa nodrošināšana (Latvijas vēsture, kultūrtelpa, valsts valodas pamatprasmju kurss (20 h), valodas klubi, līdzdalības iespējas, valsts un pašvaldību pakalpojumi, bērnu tiesības u. c.) un pasākumi, lai sekmētu iekļaušanos Latvijas sabiedrībā (nometnes, darbnīcas, kultūras, sporta un sadarbības pasākumi, tai skaitā ģimenēm, mijiedarbībā ar uzņemošo sabiedrību u. 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finanšu līdzekļus Sabiedrības integrācijas fondam (turpmāk – Fonds), lai līdz 2025.gada 31.decembrim īstenotu valsts budžeta finansētās programmas “Kultūrorientācijas kursi un iekļaušanās pasākumi Ukrainas civiliedzīvotājiem” (turpmāk – Programma)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rezultātā Ukrainas civiliedzīvotāji ir spiesti atstāt savas dzīvesvietas, dodoties meklēt patvērumu Eiropas Savienības valstīs, tostarp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18.decembra rīkojumu Nr.1109 “Par Pasākumu plānu atbalsta sniegšanai Ukrainas civiliedzīvotājiem Latvijas Republikā 2025.gadam” Kultūras ministrija ir atbildīgā institūcija un Fonds līdzatbildīgā iestāde, lai nodrošinātu Plāna 9.5.pasākuma “Kultūrorientācijas jeb integrācijas kursa nodrošināšana (Latvijas vēsture, kultūrtelpa, valsts valodas pamatprasmju kurss (20 h), valodas klubi, līdzdalības iespējas, valsts un pašvaldību pakalpojumi, bērnu tiesības u.c.) un pasākumi, lai sekmētu iekļaušanos Latvijas sabiedrībā (nometnes, darbnīcas, kultūras, sporta un sadarbības pasākumi, tai skaitā ģimenēm, mijiedarbībā ar uzņemošo sabiedrību u.c.)” īstenošanu. Finansējuma avots šī pasākuma īstenošanai ir noteiktais valsts budžeta resora “74. Gadskārtējā valsts budžeta izpildes procesā pārdalāmais finansējums” paredzētais finansējums – 2 802 000 </w:t>
      </w:r>
      <w:r w:rsidR="00000000" w:rsidRPr="00000000" w:rsidDel="00000000">
        <w:rPr>
          <w:i w:val="1"/>
          <w:rtl w:val="0"/>
        </w:rPr>
        <w:t xml:space="preserve">euro</w:t>
      </w:r>
      <w:r w:rsidR="00000000" w:rsidRPr="00000000" w:rsidDel="00000000">
        <w:rPr>
          <w:rtl w:val="0"/>
        </w:rPr>
        <w:t xml:space="preserve"> apmērā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7.panta piecpadsmito daļu Ukrainas civiliedzīvotājam ir tiesības bez maksas apmeklēt latviešu valodas mācības un kultūrorientācijas kursus un pasākumus, kas sekmē sadarbību starp Ukrainas civiliedzīvotājiem un Latvijas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īstenojot programmu “Kultūrorientācijas kursi un iekļaušanās pasākumi Ukrainas civiliedzīvotājiem”, divu projektu konkursu ietvaros kopā tika noslēgts 51 līgums ar organizācijām, kas nodrošināja bezmaksas kultūrorientācijas kursus un pasākumus, kas sekmē sadarbību starp Ukrainas civiliedzīvotājiem un Latvijas sabiedrību, pieejamību visos Latvijas reģionos par kopējo summu 3 407 388,24 </w:t>
      </w:r>
      <w:r w:rsidR="00000000" w:rsidRPr="00000000" w:rsidDel="00000000">
        <w:rPr>
          <w:i w:val="1"/>
          <w:rtl w:val="0"/>
        </w:rPr>
        <w:t xml:space="preserve">euro</w:t>
      </w:r>
      <w:r w:rsidR="00000000" w:rsidRPr="00000000" w:rsidDel="00000000">
        <w:rPr>
          <w:rtl w:val="0"/>
        </w:rPr>
        <w:t xml:space="preserve">. Vidējās izmaksas viena projekta īstenošanai bija 66 811,53 </w:t>
      </w:r>
      <w:r w:rsidR="00000000" w:rsidRPr="00000000" w:rsidDel="00000000">
        <w:rPr>
          <w:i w:val="1"/>
          <w:rtl w:val="0"/>
        </w:rPr>
        <w:t xml:space="preserve">euro</w:t>
      </w:r>
      <w:r w:rsidR="00000000" w:rsidRPr="00000000" w:rsidDel="00000000">
        <w:rPr>
          <w:rtl w:val="0"/>
        </w:rPr>
        <w:t xml:space="preserve">. Izmaksu attiecināmības periods bija no 2024.gada 1.marta līdz 2024.gada 31.decembrim. Ņemot vērā, ka 2024.gadā īstenoto projektu noslēguma atskaites vēl nav saņemtas, aptvertās mērķa grupas apmērs nav precīzi zināms, taču 2023.gadā kopējā projektos iesaistītā mērķa grupa bija 13 593 personas, no kurām 10 160 – Ukrainas civiliedzīvotāji un 3 433 – uzņemošās kopienas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ģeopolitisko situāciju Eiropā, īpaši – kara turpināšanos, enerģētikas resursu cenu kāpumu,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atbalsta sniegšanu Ukrainas civiliedzīvotājiem un viņu ģimenes locekļiem, kuri izceļo no Ukrainas vai kuri nevar atgriezties Ukrainā Krievijas Federācijas izraisītā bruņotā konflikta laikā, Latvijas Republikas Saeima 2022.gada 3.martā pieņēma Ukrainas civiliedzīvotāju atbalsta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izveidotā primārā atbalsta sistēma Ukrainas civiliedzīvotājiem darbojas sekmīgi. Ilgstoši uzturoties Latvijā, Ukrainas civiliedzīvotāji aizvien vairāk vēlas iekļauties uzņemošajās kopienās, gan vairojot zināšanas par Latvijas vēsturi, kultūrtelpu un citām sabiedrības procesu jomām, gan veidojot sociālos kontaktus ar uzņemošās sabiedrības pārstāvjiem. Nevalstisko organizāciju, kā arī pašvaldību sniegtā informācija liecina, ka kopīgās interesēs balstīti pasākumi neformālā gaisotnē sekmē gan Ukrainas civiliedzīvotāju, gan uzņemošās sabiedrības locekļu savstarpēju sadarbību un kontaktu veidošanu. Uzņemošās kopienas sociālie kontakti un resursi vairos Ukrainas civiliedzīvotājiem pieejamību pakalpojumiem un atbalstam, kā arī sekmēs Ukrainas civiliedzīvotāju iesaisti uzņemošās kopienas iniciatīvās, tādējādi apliecinot viņu ieguldījumu kopienas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aizvien vairāk vēlas iesaistīties kultūrorientācijas kursos un to nepārtraukta pieejamība Ukrainas civiliedzīvotājiem nodrošinās iespējas iepazīt Latvijas vēsturi, kultūru un vērtības, valsts pārvaldes struktūru un tiesiskuma principus, latviešu valodas lietojuma prasības darbā un ikdienā, kā arī citas tēmas, kas sekmēs Ukrainas civiliedzīvotāju iekļaušanos Latvijas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risinājums sagatavots, ņemot vērā Fonda pieredzi un kapacitāti, kā arī kompetenci jautājumos, kas skar atklātu projektu iesniegumu konkursu izsludināšanu, projektu izvērtēšanu un uzraudzību. Ir izvērtēta arī līdzšinējā Kultūras ministrijas un Fonda sadarbība, īstenojot dažādas valsts budžeta finansētas programmas. Ņemot vērā nepieciešamību nodrošināt atklātu un caurspīdīgu projektu īstenotāju atlasi iespējami īsā laikā, Fonds ir noteikts par Programmas administrētāju.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kas nosaka Fonda darbību (Sabiedrības integrācijas fonda likums un Ministru kabineta 2020.gada 9.jūnija noteikumi Nr.379 “Sabiedrības integrācijas fonda nolikums”) ļauj īstenot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resora “74. Gadskārtējā valsts budžeta izpildes procesā pārdalāmais finansējums” piešķirt Fondam finansējumu 2 802 000 </w:t>
      </w:r>
      <w:r w:rsidR="00000000" w:rsidRPr="00000000" w:rsidDel="00000000">
        <w:rPr>
          <w:i w:val="1"/>
          <w:rtl w:val="0"/>
        </w:rPr>
        <w:t xml:space="preserve">euro</w:t>
      </w:r>
      <w:r w:rsidR="00000000" w:rsidRPr="00000000" w:rsidDel="00000000">
        <w:rPr>
          <w:rtl w:val="0"/>
        </w:rPr>
        <w:t xml:space="preserve"> apmērā. Programmas mērķis ir nodrošināt kultūrorientācijas kursu un pasākumu, kas sekmē sadarbību starp Ukrainas civiliedzīvotājiem un Latvijas sabiedrību, pieejamību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atbalsts paredzēts Ukrainas civiliedzīvotājiem atbilstoši Ukrainas civiliedzīvotāju atbalsta likuma 1.panta pirmās daļas izpratnei. Programmas ietvaros tiks rīkots atklāts projektu konkurss, kura mērķis ir noteikt atbilstošus pieteikumus, kuru īstenošana sniegs būtisku ieguldījumu, lai nodrošinātu kultūrorientācijas kursu un iekļaušanās pasākumu pieejamību Ukrainas civiliedzīvotājiem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konkurss norisināsies atbilstoši Ministru kabineta 2012.gada 29.maija noteikumiem Nr.374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finansējuma saņemšanai Programmas ietvaros varēs iesniegt Latvijas Republikas Uzņēmumu reģistra vestajā biedrību un nodibinājumu reģistrā reģistrētās nevalstiskās organizācijas, Latvijas Republikas tiešās vai pastarpinātās valsts pārvaldes iestādes, atvasinātas publiskas personas, citas valsts iestādes, kas darbojas saliedētas sabiedrības attīstības, izglītības vai sociālās iekļaušanās jomā (turpmāk – projekta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netiek plānots atbalsts tādām projekta pieteikuma iesniedzēja darbībām, kurām atbalsts būtu kvalificējams kā komercdarbības atbalsts atbilstoši Komercdarbības atbalsta kontroles likuma 5.pantam. Projektu konkursa nolikumā tiks iekļauts nosacījums, ka gadījumos, ja pretendents vienlaikus veic gan Programmā atbalstāmās darbības, gan saimnieciskās darbības, kam komercdarbības atbalsta nosacījumi būtu jāpiemēro, projekta pieteikuma iesniedzējs veic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pakalpojumu sniedzējiem par sniegto pakalpojumu tiks noteikta tirgus izpētes rezultātā, nodrošinot, ka maksa par pakalpojumu sniedzēju pakalpojumiem nepārsniegs tirgus cenu, tādējādi pasākums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varētu sasniegt savu mērķi 2025.gadā, projektu īstenošana tiks uzsākta nekavējoties pēc lēmuma par finansējuma piešķiršanu pieņemšanas. Projektu īstenotājiem tiks izmaksāts avanss atbilstoši projektu konkursa nolikuma nosacījumiem. Projektu konkursa nolikumā tiks noteikts projektu pieteikumu iesniegšanas termiņš, paredzot, ka projektu īstenošanas izmaksas ir attiecināmas no 2025.gada 1.marta.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pieteikumi tiks vērtēti atbilstoši administratīvajiem, atbilstības un kvalitātes kritērijiem. Projektu pieteikumus vērtēs projektu pieteikumu vērtēšanas komisija, taču projektu pieteikumu vērtēšanai var piesaistīt atklātā konkursā izraudzītus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ietvaros plānots atlasīt projektu pieteikumu iesniedzējus, kas sadarbībā ar kultūras institūcijām (muzejiem, bibliotēkām, kultūras centriem u.c.) nodrošinās bezmaksas kultūrorientācijas kursu un pasākumu, kas sekmē sadarbību starp Ukrainas civiliedzīvotājiem un Latvijas sabiedrību, pieejamību Ukrainas civiliedzīvotājiem iespējami tuvu viņu apmešanās vietām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apstiprinātajos projektos organizētās aktivitātes kopā paredzētas aptuveni 6 000 personu. Katra projekta ietvaros jānodrošina gan bezmaksas kultūrorientācijas kursu, gan pasākumu, kas sekmē sadarbību starp Ukrainas civiliedzīvotājiem un Latvijas sabiedrību, pieejamība latviešu vai ukraiņu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atbalstāmās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kultūrorientācijas kursi, kuros iekļautas piecas obligātās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Latvijas vēsture, kultūra un vērtības; valsts pārvalde un tiesiskums (tai skaitā Satversme, demokrātija, līdzdalības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latviešu valoda darbā un ikdienā (prasības, apguves iespējas, tai skaitā pašmācības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nodarbinātība Latvijā (darba tirgus un darba attiecības, pašnodarbinātības iespējas, uzņēmējdarbības uzsākšanas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sociālie un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cita tematika atbilstoši mērķa grupas vajadzībām un interesēm (izglītības sistēma, uzņēmējdarbības attīstības iespējas, sabiedrība un sadzīve, līdzdalība vietējās kopienas aktivitātēs, līderības un sadarbības prasmes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pasākumi, kas sekmē sadarbību starp Ukrainas civiliedzīvotājiem un uzņemošo kopienu, gan kultūras, gan sporta, gan aktīvās atpūtas jomā (gan iekštelpās, gan ārtelpās), paredzot arī ģimenes locekļu 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apmeklējot kultūras norises vai kultūras institūcijas (muzejus, bibliotēkas, kultūras centrus u.c.), lai iepazītu amatiermākslas, profesionālās un laikmetīgās mākslas piedāvājumu vai Latvijas kultūras kanonu, tostarp izmantojot iespējas iepazīt pieejamo kultūras produktu piedāvājumu, piemēram, kultūrizglītības programmas “Latvijas skolas soma”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organizējot pasākumus, kas veicina starpkultūru komunikāciju un saliedētas sabiedrības attīstību, iesaistot aktivitātēs mērķa grupas pārstāvjus kā lektorus vai ekspertus pasākumu norisē;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pasākumi, kas ir vērsti uz dažādu mērķa grupu (piemēram, bērnu, senioru, darba meklētāju) prasmju attīstību/ uzlabošanu, lai sekmētu iekļaušanos sabiedrībā, tostarp izmantojot digitālās infrastruktūras rīkus (piemēram, Latvija.lv, e-paraksts, e-veselība, e-klase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citas aktivitātes, kas sekmē Ukrainas civiliedzīvotāju iekļaušanos Latvijas sabiedrībā (piemēram, medijpratības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katrai no piecām obligātajām kultūrorientācijas kursu tēmām jābūt iekļautai kursu saturā līdzvērtīgi proporcionālā apmērā, atbilstoši plānotajam kursa garumam.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attiecināmās izmaksas: pasniedzēju un ekspertu atlīdzība, mācību materiāli, telpas, mācību aprīkojums, pasākumu organizēšanas izdevumi, materiāli kultūras, sporta un sadarbības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finansēšanas un atskaitīšanās kārtība tiks noteikta projektu konkursa nolikuma dokumentācijā, ko apstiprinās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projektu īstenošanai pieejamais finansējums ir 2 704 429,00 </w:t>
      </w:r>
      <w:r w:rsidR="00000000" w:rsidRPr="00000000" w:rsidDel="00000000">
        <w:rPr>
          <w:i w:val="1"/>
          <w:rtl w:val="0"/>
        </w:rPr>
        <w:t xml:space="preserve">euro</w:t>
      </w:r>
      <w:r w:rsidR="00000000" w:rsidRPr="00000000" w:rsidDel="00000000">
        <w:rPr>
          <w:rtl w:val="0"/>
        </w:rPr>
        <w:t xml:space="preserve"> (Programmā kopējais pieejamais finansējums ir 2 802 000 </w:t>
      </w:r>
      <w:r w:rsidR="00000000" w:rsidRPr="00000000" w:rsidDel="00000000">
        <w:rPr>
          <w:i w:val="1"/>
          <w:rtl w:val="0"/>
        </w:rPr>
        <w:t xml:space="preserve">euro</w:t>
      </w:r>
      <w:r w:rsidR="00000000" w:rsidRPr="00000000" w:rsidDel="00000000">
        <w:rPr>
          <w:rtl w:val="0"/>
        </w:rPr>
        <w:t xml:space="preserve">, no kuriem 97 571 </w:t>
      </w:r>
      <w:r w:rsidR="00000000" w:rsidRPr="00000000" w:rsidDel="00000000">
        <w:rPr>
          <w:i w:val="1"/>
          <w:rtl w:val="0"/>
        </w:rPr>
        <w:t xml:space="preserve">euro</w:t>
      </w:r>
      <w:r w:rsidR="00000000" w:rsidRPr="00000000" w:rsidDel="00000000">
        <w:rPr>
          <w:rtl w:val="0"/>
        </w:rPr>
        <w:t xml:space="preserve"> ir plānoti Programmas administrēšanas izdevumu segšanai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finansējums veido 100% no projekta kopējām attiecināmajām izmaksām. Projekta izmaksu attiecināmības periods ir no 2025.gada 1.marta līdz 2025.gada 31.decembim. Visām projekta aktivitātēm jābūt pabeigtām līdz 2025.gada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ieradušies Latvijā, tiks nodrošināta kultūrorientācijas kursu un iekļaušanās pasākumu pieejamība visos Latvijas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pieejamais finansējums ir 2 802 000 </w:t>
            </w:r>
            <w:r w:rsidR="00000000" w:rsidRPr="00000000" w:rsidDel="00000000">
              <w:rPr>
                <w:sz w:val="24"/>
                <w:i w:val="1"/>
                <w:rtl w:val="0"/>
              </w:rPr>
              <w:t xml:space="preserve">euro</w:t>
            </w:r>
            <w:r w:rsidR="00000000" w:rsidRPr="00000000" w:rsidDel="00000000">
              <w:rPr>
                <w:sz w:val="24"/>
                <w:rtl w:val="0"/>
              </w:rPr>
              <w:t xml:space="preserve">, no kuriem projektu īstenošanai pieejamais finansējums ir 2 704 429 </w:t>
            </w:r>
            <w:r w:rsidR="00000000" w:rsidRPr="00000000" w:rsidDel="00000000">
              <w:rPr>
                <w:sz w:val="24"/>
                <w:i w:val="1"/>
                <w:rtl w:val="0"/>
              </w:rPr>
              <w:t xml:space="preserve">euro</w:t>
            </w:r>
            <w:r w:rsidR="00000000" w:rsidRPr="00000000" w:rsidDel="00000000">
              <w:rPr>
                <w:sz w:val="24"/>
                <w:rtl w:val="0"/>
              </w:rPr>
              <w:t xml:space="preserve">, Programmas administrēšanas izdevumu segšanai Fondam ir plānoti 97 571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maksimālais pieejamais finansējums vienam projektam 100 000 </w:t>
            </w:r>
            <w:r w:rsidR="00000000" w:rsidRPr="00000000" w:rsidDel="00000000">
              <w:rPr>
                <w:sz w:val="24"/>
                <w:i w:val="1"/>
                <w:rtl w:val="0"/>
              </w:rPr>
              <w:t xml:space="preserve">euro</w:t>
            </w:r>
            <w:r w:rsidR="00000000" w:rsidRPr="00000000" w:rsidDel="00000000">
              <w:rPr>
                <w:sz w:val="24"/>
                <w:rtl w:val="0"/>
              </w:rPr>
              <w:t xml:space="preserve">, minimālais finansējums vienam projektu pieteikumam ir 10 000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projektu skaits noteikts, balstoties uz nevalstisko organizāciju, kas veic koordinējošu darbību vai būtisku pakalpojumu nodrošināšanu Ukrainas civiliedzīvotājiem, sniegto informāciju. Programma paredz risinājumu, lai nodrošinātu atbalstu vidēji 27 projektu īstenošanai par maksimālo pieejamo summu vienam projektam 100 000 </w:t>
            </w:r>
            <w:r w:rsidR="00000000" w:rsidRPr="00000000" w:rsidDel="00000000">
              <w:rPr>
                <w:sz w:val="24"/>
                <w:i w:val="1"/>
                <w:rtl w:val="0"/>
              </w:rPr>
              <w:t xml:space="preserve">euro</w:t>
            </w:r>
            <w:r w:rsidR="00000000" w:rsidRPr="00000000" w:rsidDel="00000000">
              <w:rPr>
                <w:sz w:val="24"/>
                <w:rtl w:val="0"/>
              </w:rPr>
              <w:t xml:space="preserve">, vai, ja projektu pieteikumu iesniedzēji iesniegs pieteikumus par finansējumu robežās no 10 000 </w:t>
            </w:r>
            <w:r w:rsidR="00000000" w:rsidRPr="00000000" w:rsidDel="00000000">
              <w:rPr>
                <w:sz w:val="24"/>
                <w:i w:val="1"/>
                <w:rtl w:val="0"/>
              </w:rPr>
              <w:t xml:space="preserve">euro</w:t>
            </w:r>
            <w:r w:rsidR="00000000" w:rsidRPr="00000000" w:rsidDel="00000000">
              <w:rPr>
                <w:sz w:val="24"/>
                <w:rtl w:val="0"/>
              </w:rPr>
              <w:t xml:space="preserve"> līdz 100 000 </w:t>
            </w:r>
            <w:r w:rsidR="00000000" w:rsidRPr="00000000" w:rsidDel="00000000">
              <w:rPr>
                <w:sz w:val="24"/>
                <w:i w:val="1"/>
                <w:rtl w:val="0"/>
              </w:rPr>
              <w:t xml:space="preserve">euro</w:t>
            </w:r>
            <w:r w:rsidR="00000000" w:rsidRPr="00000000" w:rsidDel="00000000">
              <w:rPr>
                <w:sz w:val="24"/>
                <w:rtl w:val="0"/>
              </w:rPr>
              <w:t xml:space="preserve">, tad atbalstīto pieteikumu skaits attiecīgi varētu būt lielāks. Vienlaikus paredzams, ka projektu konkursa ietvaros varētu tikt iesniegti vismaz 90 projektu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attiecināmo izmaksu periodu no 2025.gada 1.marta līdz 2025.gada 31.decembrim, kas ir pilni 10 mēneši, indikatīvās projekta īstenotāja mēneša izmaksas būtu 10 000 </w:t>
            </w:r>
            <w:r w:rsidR="00000000" w:rsidRPr="00000000" w:rsidDel="00000000">
              <w:rPr>
                <w:sz w:val="24"/>
                <w:i w:val="1"/>
                <w:rtl w:val="0"/>
              </w:rPr>
              <w:t xml:space="preserve">euro</w:t>
            </w:r>
            <w:r w:rsidR="00000000" w:rsidRPr="00000000" w:rsidDel="00000000">
              <w:rPr>
                <w:sz w:val="24"/>
                <w:rtl w:val="0"/>
              </w:rPr>
              <w:t xml:space="preserve"> dažādu izdevumu pozīciju un administratīvo izdevumu segšanai. Fonds administrēto programmu ietvaros projektu konkursos nosaka projektu īstenotājiem administratīvās izmaksas 20% robežās no kopējām projekta izmaksām. Fonds 20% administratīvo likmi ir piemērojis visās Fonda administrētajās programmās, tai skaitā 2023. un 2024.gadā valsts budžeta programmā “Kultūrorientācijas kursi un iekļaušanās pasākumi Ukrainas civiliedzīvotājiem”, kā arī citās programmās, kurās atbalsts tiek sniegts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Piemērojot gūto pieredzi citās Fonda administrētajās programmās, viena aktivitāte šauram lokam nedēļā izmaksā apmēram 2 000 </w:t>
            </w:r>
            <w:r w:rsidR="00000000" w:rsidRPr="00000000" w:rsidDel="00000000">
              <w:rPr>
                <w:sz w:val="24"/>
                <w:i w:val="1"/>
                <w:rtl w:val="0"/>
              </w:rPr>
              <w:t xml:space="preserve">euro</w:t>
            </w:r>
            <w:r w:rsidR="00000000" w:rsidRPr="00000000" w:rsidDel="00000000">
              <w:rPr>
                <w:sz w:val="24"/>
                <w:rtl w:val="0"/>
              </w:rPr>
              <w:t xml:space="preserve">, piemēram, pārgājiens, diskusiju klubs, ekskursija u.c. Savukārt mēneša finansējums 8 000 </w:t>
            </w:r>
            <w:r w:rsidR="00000000" w:rsidRPr="00000000" w:rsidDel="00000000">
              <w:rPr>
                <w:sz w:val="24"/>
                <w:i w:val="1"/>
                <w:rtl w:val="0"/>
              </w:rPr>
              <w:t xml:space="preserve">euro </w:t>
            </w:r>
            <w:r w:rsidR="00000000" w:rsidRPr="00000000" w:rsidDel="00000000">
              <w:rPr>
                <w:sz w:val="24"/>
                <w:rtl w:val="0"/>
              </w:rPr>
              <w:t xml:space="preserve">apmērā ir piemērojams vairāku dienu nometnes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programmu īstenošanā un finansēšanā darbojas, balstoties uz projektu pieeju un programmu administrēšanas izmaksas iekļauj programmu finansējumā. Fonda budžeta bāzē nav pieejams finansējums pilnā apmērā, lai segtu jaunu, iepriekš neplānotu programmu administrēšanas izdevumus. Fonda programmu administrēšanas izmaksās ietilpst programmas īstenošanā tieši iesaistīto darbinieku atlīdzība, tiešās izmaksas un netiešās izmaksas (tajā skaitā IT nodrošinājums, IT atbalsts, sakaru izdevumi, telpu noma un uzturēšana), kas tiek aprēķinātas atbilstoši programmas īstenošanā iesaistīto Fonda darbinieku proporcijai pret kopējo Fondā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ietvaros aktivitāšu izmaksas projektos ir attiecināmas no 2025.gada 1.marta. Paredzams, ka projektu konkursā varētu tikt iesniegti apmēram 90 projektu pieteikumi. Pēc visu iesniegto projektu pieteikumu izvērtēšanas pēc administratīvajiem, atbilstības un kvalitātes kritērijiem tiks atlasīti atbilstošākie projekti (28 līdz 40) un slēgti līgumi par projektu īstenošanu. Projektu pieteikumu administratīvo vērtēšanu veic Fonda darbinieki, bet atbilstības un kvalitātes vērtēšanu veic vērtēšanas komisija, kuras sastāvā ir jābūt pārstāvjiem no valsts pārvaldes un nevalstiskajām organizācijām. Salīdzinot ar Latvijas valsts budžeta finansētās programmas “Latviešu valodas mācības Ukrainas civiliedzīvotājiem” konkursa pieteikumu vērtēšanu, kura pieteikumus vērtēja tikai pēc administratīvajiem un atbilstības kritērijiem, Programmā tiek vērtēta arī pieteikumu kvalitāte, līdz ar to nepieciešams segt vērtēšanas komisijas nevalstisko organizāciju pārstāvju locekļu izmaksas par iesniegto pieteikumu vērtēšanu un dalību vērtēšanas komisijas sēdēs (skatīt zemāk atlīdzību aprēķinu vērtēšanas komisijas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konkursā projektu pieteikumu vērtēšana provizoriski varētu notikt 2025.gada februārī-martā. Līdz ar to Fondam administratīvās izmaksas nepieciešams segt, sākot ar 2025.gada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izmaksas – 3,5 % jeb 97 571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2023. un 2024.gada pieredzi, Programmas administrēšanā un projektu uzraudzībai tiks piesaistīti vidēji 1,9 darbinieki (pusotra slodze Programmas vadītāji (1,5 slodzes), komunikācijas speciālists (0,3 slodze) un grāmatvedis (0,1 slodze))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17"/>
              <w:gridCol w:w="1101"/>
              <w:gridCol w:w="1078"/>
              <w:gridCol w:w="1038"/>
              <w:gridCol w:w="1007"/>
              <w:gridCol w:w="967"/>
              <w:gridCol w:w="889"/>
              <w:tblGridChange w:id="0">
                <w:tblGrid>
                  <w:gridCol w:w="1117"/>
                  <w:gridCol w:w="1101"/>
                  <w:gridCol w:w="1078"/>
                  <w:gridCol w:w="1038"/>
                  <w:gridCol w:w="1007"/>
                  <w:gridCol w:w="967"/>
                  <w:gridCol w:w="88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Algas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DD soc.garantijas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kopā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37 254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18 627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Komunikācijas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13 901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4 638</w:t>
                  </w:r>
                </w:p>
              </w:tc>
            </w:tr>
            <w:tr>
              <w:tc>
                <w:tcPr>
                  <w:shd w:fill="ffffff"/>
                  <w:vAlign w:val="center"/>
                  <w:noWrap w:val="true"/>
                  <w:vMerge w:val="restart"/>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74 420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sagatavotu projektu konkursa dokumentāciju, veikta anketēšana un organizētas diskusijas ar 2023. un 2024.gada programmas projektu īstenotājiem, apkopoti viedokļi par projektu īstenošanas gaitu un konstatējumiem. Nodrošināta programmas konkursa testēšana Mērķa finansējuma izlietojuma pārvaldības platformā (MAP). Programmas projektu konkursa dokumentācijas sagatavošana ietver projektu konkursa nolikuma ar pielikumiem, vērtēšanas nolikuma, vērtēšanas veidlapas, metodikas, reģistru u.c. dokumentācijas izstrādi atbilstoši Fonda procedūrām un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projektu pieteikumu vērtēšanas komisijas locekļiem, kas ir nevalstisko organizāciju pārstāvji: 90 pieteikumi x 4 cilvēki x 3 stundas x 10,00 </w:t>
            </w:r>
            <w:r w:rsidR="00000000" w:rsidRPr="00000000" w:rsidDel="00000000">
              <w:rPr>
                <w:sz w:val="24"/>
                <w:i w:val="1"/>
                <w:rtl w:val="0"/>
              </w:rPr>
              <w:t xml:space="preserve">euro</w:t>
            </w:r>
            <w:r w:rsidR="00000000" w:rsidRPr="00000000" w:rsidDel="00000000">
              <w:rPr>
                <w:sz w:val="24"/>
                <w:rtl w:val="0"/>
              </w:rPr>
              <w:t xml:space="preserve"> = 10 800 </w:t>
            </w:r>
            <w:r w:rsidR="00000000" w:rsidRPr="00000000" w:rsidDel="00000000">
              <w:rPr>
                <w:sz w:val="24"/>
                <w:i w:val="1"/>
                <w:rtl w:val="0"/>
              </w:rPr>
              <w:t xml:space="preserve">euro</w:t>
            </w:r>
            <w:r w:rsidR="00000000" w:rsidRPr="00000000" w:rsidDel="00000000">
              <w:rPr>
                <w:sz w:val="24"/>
                <w:rtl w:val="0"/>
              </w:rPr>
              <w:t xml:space="preserve"> + 2 548 </w:t>
            </w:r>
            <w:r w:rsidR="00000000" w:rsidRPr="00000000" w:rsidDel="00000000">
              <w:rPr>
                <w:sz w:val="24"/>
                <w:i w:val="1"/>
                <w:rtl w:val="0"/>
              </w:rPr>
              <w:t xml:space="preserve">euro</w:t>
            </w:r>
            <w:r w:rsidR="00000000" w:rsidRPr="00000000" w:rsidDel="00000000">
              <w:rPr>
                <w:sz w:val="24"/>
                <w:rtl w:val="0"/>
              </w:rPr>
              <w:t xml:space="preserve"> darba devēja sociālās iemaksas = 13 347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tehniskās izmaksas ir 9 804 </w:t>
            </w:r>
            <w:r w:rsidR="00000000" w:rsidRPr="00000000" w:rsidDel="00000000">
              <w:rPr>
                <w:sz w:val="24"/>
                <w:i w:val="1"/>
                <w:rtl w:val="0"/>
              </w:rPr>
              <w:t xml:space="preserve">euro</w:t>
            </w:r>
            <w:r w:rsidR="00000000" w:rsidRPr="00000000" w:rsidDel="00000000">
              <w:rPr>
                <w:sz w:val="24"/>
                <w:rtl w:val="0"/>
              </w:rPr>
              <w:t xml:space="preserve">, tai skaitā izdevumi par informāciju sistēmu uzturēšanu, sakaru un interneta pakalpojumiem, komunālajiem maksājumiem un telpu nomu, kuras tiek daļēji attiecinātas no Fonda administrētajām programmām piešķirtā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valsts budžeta finansētās Programmas projektu īstenošanai finansējums pārdalāms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Kultūras ministrija, Sabiedrības integrācijas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pamatnostādnēs 2021.‑2027.gadam (apstiprinātas ar Ministru kabineta 2021.gada 5.februāra rīkojumu Nr.72) noteikts, ka imigrantu integrācijas jautājumi ir Eiropas Savienības dalībvalstu kompetence, tomēr Eiropas Savienības līmenī kopš 2004.gada tiek izstrādāti vienoti koordinācijas instrumenti, piemēram, Eiropas Savienības imigrantu integrācijas pamatprincipi (</w:t>
      </w:r>
      <w:r w:rsidR="00000000" w:rsidRPr="00000000" w:rsidDel="00000000">
        <w:rPr>
          <w:i w:val="1"/>
          <w:rtl w:val="0"/>
        </w:rPr>
        <w:t xml:space="preserve">Common Basic Principles for integration of third country nationals</w:t>
      </w:r>
      <w:r w:rsidR="00000000" w:rsidRPr="00000000" w:rsidDel="00000000">
        <w:rPr>
          <w:rtl w:val="0"/>
        </w:rPr>
        <w:t xml:space="preserve">), kas joprojām ir aktuāls dokuments un pamats ieteikumiem imigrantu integrācijas jomā. Pamatprincipiem ir rekomendējošs raksturs un tie iesaka svarīgākos jautājumus, kuriem vēlams pievērst īpašu uzmanību, veidojot integrācijas politiku. Neraugoties uz atšķirīgajiem ieceļošanas pamatiem, imigrantu iekļaušanās sabiedrībā skar gan saskarsmes jautājumus, gan iekļaušanos izglītībā un darba tirgū, gan piekļuvi veselības un citiem pakalpojumiem. Viens no imigrantu integrācijas pamatprincipiem nosaka, ka: “pamatzināšanas vietējās sabiedrības valodas, vēstures un institūciju jomā ir neaizstājami integrācijas faktori; imigrantu sekmīga integrācija ir iespējama tikai tad, ja tiem sniedz iespēju iegūt šīs pamatzināšanas”.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vienlaikus nodrošinot arī praktiskas prasmes, kas nepieciešamas, lai sekmīgi uzsāktu dzīvi Latvijā, tādējādi palīdzot iekļauties un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veicinās Ukrainas civiliedzīvotāju iekļaušanos Latvijas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25-TA-69</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25-TA-69</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anotācija_(ex_ante)_25-TA-69.docx</dc:title>
</cp:coreProperties>
</file>

<file path=docProps/custom.xml><?xml version="1.0" encoding="utf-8"?>
<Properties xmlns="http://schemas.openxmlformats.org/officeDocument/2006/custom-properties" xmlns:vt="http://schemas.openxmlformats.org/officeDocument/2006/docPropsVTypes"/>
</file>