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2025. gada 1. jūlija noteikumos Nr. 404 "Eiropas Savienības kohēzijas politikas programmas 2021.–2027. gadam 4.2.4. specifiskā atbalsta mērķa "Veicināt mūžizglītību, jo īpaši paredzot elastīgas kvalifikācijas paaugstināšanas un pārkvalificēšanās iespējas visiem, ņemot vērā digitālās prasmes, labāk paredzot pārmaiņas un jaunas prasības pēc prasmēm, kas balstītas uz darba tirgus vajadzībām, atvieglojot karjeras maiņu un sekmējot profesionālo mobilitāti" 4.2.4.1. pasākuma "Atbalsts nozaru vajadzībās balstītai pieaugušo izglītībai" otrās kārtas īstenošanas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Ministru kabineta 2025. gada 1. jūlija noteikumos Nr. 404 "Eiropas Savienības kohēzijas politikas programmas 2021. – 2027. gadam 4.2.4. specifiskā atbalsta mērķa "Veicināt mūžizglītību, jo īpaši paredzot elastīgas kvalifikācijas paaugstināšanas un pārkvalificēšanās iespējas visiem, ņemot vērā digitālās prasmes, labāk paredzot pārmaiņas un jaunas prasības pēc prasmēm, kas balstītas uz darba tirgus vajadzībām, atvieglojot karjeras maiņu un sekmējot profesionālo mobilitāti" 4.2.4.1. pasākuma "Atbalsts nozaru vajadzībās balstītai pieaugušo izglītībai" otrās kārtas īstenošanas noteikumi"" (turpmāk – MK noteikumi Nr. 404) saistīti ar 2025. gada 12. decembrī notikušajā Eiropas Savienības Ekonomisko un finanšu jautājumu padomes (ECOFIN) sanāksmē apstiprinātajiem grozījumiem Nr.3 Latvijas Atveseļošanas un noturības mehānisma plāna (turpmāk – AF plāns) un 4.2.4.1. pasākuma "Atbalsts nozaru vajadzībās balstītai pieaugušo izglītībai" otrās kārtas (turpmāk – 4.2.4.1. pasākuma otrā kārta) īstenošanas progresu.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jaunu ziņojuma par Prasmju fonda pilotprojekta rezultātiem un priekšlikumiem tā darbības pilnveidošanai un turpmākai īstenošanai līdz 2029. gadam iesniegšanas un saskaņošanas ar Izglītības un zinātnes ministriju termiņu atbilstoši 4.2.4.1. pasākuma otrās kārtas īstenošanas progresam un precizēt 4.2.4.1. pasākuma otrās kārtas finansējumu atbilstoši projektu iesniegumu atlases rezultātā apstiprinātajām izmaksām.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4.2.4.1. pasākuma otrā kārta tiek īstenota ES kohēzijas politikas programmas 2021. – 2027. gadam 4.2. prioritārā virziena "Izglītība, prasmes un mūžizglītība" ietvaros. Plānotā atbalsta mērķis ir izstrādāt Latvijai atbilstošu prasmju fondu finansēšanas un darbības modeli, ar nodomu tam ilgtermiņā kļūt par pašregulējošu un pašfinansējošu struktūru, attīstot sociālajā dialogā balstītu sistēmu nozares uzņēmumā nodarbināto, tai skaitā, pašnodarbināto un nozares potenciālā darba spēka prasmju attīstībai ātrai un efektīvai darbaspēka pielāgošanai darba tirgus attīstības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404 41.1. apakšpunktā noteikts, ka finansējuma saņēmējs izstrādā un līdz 2026. gada 31. maijam ar Izglītības un zinātnes ministriju saskaņo ziņojumu par Prasmju fonda pilotprojekta rezultātiem un priekšlikumiem tā darbības pilnveidošanai un turpmākai īstenošanai līdz 2029.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4.2.4.1. pasākuma otrās kārtas ietvaros plānotais ziņojums par Prasmju fonda pilotprojektu pilotēšanu (praktisku izmēģināšanu) ar izpildes termiņu – līdz 2026. gada 31. maijam, bija ietverts AF 2.3.1.r. reformas "Ilgtspējīgas un sociāli atbildīgas atbalsta sistēmas pieaugušo izglītībai attīstība" (turpmāk – 2.3.1.r. reforma) plānā.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2.3.1.r. reformas īstenošanas laikā Eiropas Komisija rosināja veikt vairākus precizējumus 2.3.1.r. reformas aprakstā un saistītajos ES Padomes īstenošanas lēmuma (turpmāk – CID) rādītājos, pamatojoties uz Eiropas Parlamenta un Padomes regulas (ES) 2021/241 (2021.gada 12.februāris), ar ko izveido Atveseļošanas un noturības mehānismu, 21. pantu. Attiecīgi, lai vienkāršotu AF plānu, tika svītroti CID rādītāji Nr. 58. un Nr. 59., kas attiecas uz Prasmju fonda attīstību un pilotēšanu Latvijā, pamatojot lēmumu ar to, ka Prasmju fonda attīstības un pilotēšanas aktivitātes Latvijā ir plānotas citos politikas plānošanas dokumentos, proti, ES kohēzijas politikas programmā 2021. – 2027. gadam, un to īstenošana tiek finansēta no Eiropas Sociālā fonda Plus (4.2.4.1. pasākuma otrā kārta).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404 8. punkts nosaka - Pasākuma otrajai kārtai kopējais pieejamais attiecināmais finansējums ir ne mazāk kā 6 066 027 </w:t>
      </w:r>
      <w:r w:rsidR="00000000" w:rsidRPr="00000000" w:rsidDel="00000000">
        <w:rPr>
          <w:i w:val="1"/>
          <w:rtl w:val="0"/>
        </w:rPr>
        <w:t xml:space="preserve">euro</w:t>
      </w:r>
      <w:r w:rsidR="00000000" w:rsidRPr="00000000" w:rsidDel="00000000">
        <w:rPr>
          <w:rtl w:val="0"/>
        </w:rPr>
        <w:t xml:space="preserve">, ko veido publiskais finansējums 5 762 726 </w:t>
      </w:r>
      <w:r w:rsidR="00000000" w:rsidRPr="00000000" w:rsidDel="00000000">
        <w:rPr>
          <w:i w:val="1"/>
          <w:rtl w:val="0"/>
        </w:rPr>
        <w:t xml:space="preserve">euro</w:t>
      </w:r>
      <w:r w:rsidR="00000000" w:rsidRPr="00000000" w:rsidDel="00000000">
        <w:rPr>
          <w:rtl w:val="0"/>
        </w:rPr>
        <w:t xml:space="preserve"> apmērā (tai skaitā Eiropas Sociālā fonda Plus finansējums – 4 898 317 </w:t>
      </w:r>
      <w:r w:rsidR="00000000" w:rsidRPr="00000000" w:rsidDel="00000000">
        <w:rPr>
          <w:i w:val="1"/>
          <w:rtl w:val="0"/>
        </w:rPr>
        <w:t xml:space="preserve">euro</w:t>
      </w:r>
      <w:r w:rsidR="00000000" w:rsidRPr="00000000" w:rsidDel="00000000">
        <w:rPr>
          <w:rtl w:val="0"/>
        </w:rPr>
        <w:t xml:space="preserve"> un valsts budžeta līdzfinansējums – 864 409 </w:t>
      </w:r>
      <w:r w:rsidR="00000000" w:rsidRPr="00000000" w:rsidDel="00000000">
        <w:rPr>
          <w:i w:val="1"/>
          <w:rtl w:val="0"/>
        </w:rPr>
        <w:t xml:space="preserve">euro</w:t>
      </w:r>
      <w:r w:rsidR="00000000" w:rsidRPr="00000000" w:rsidDel="00000000">
        <w:rPr>
          <w:rtl w:val="0"/>
        </w:rPr>
        <w:t xml:space="preserve">) un privātais finansējums ne mazāk kā 303 301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404 65. punkts paredz, ka, ja tiek pārkāpti Komisijas regulas Nr. 2023/2831 nosacījumi, komersantam ir pienākums atmaksāt prasmju fonda pārvaldītājam projekta ietvaros saņemto nelikumīgo komercdarbības atbalstu kopā ar procentiem no līdzekļiem, kas ir brīvi no komercdarbības atbalsta, atbilstoši Komercdarbības atbalsta kontroles likuma IV vai V nodaļas nosacījumiem. No komersanta atgūto nelikumīgo komercdarbības atbalstu prasmju fonda pārvaldītājs var atkārtoti piešķirt atbalsta programmas ietvaros citam komersantam.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AF plāna grozījumiem Nr. 3 ar Prasmju fonda pilotprojektu īstenošanu saistītie rādītāji ir svītroti no AF plāna un to izpilde vairs nav piesaistīta AF plānā noteiktajam termiņam – 2026. gada 31. maijam. Līdz ar to aktualitāti ir zaudējusi arī prasība 4.2.4.1. pasākuma otrās kārtas finansējuma saņēmējam par Prasmju fonda pilotprojekta ziņojuma sagatavošanu un saskaņošanu līdz 2026. gada 31. maijam, kā tas līdz šim saskaņā ar AF plānu ir noteikts MK noteikumu Nr. 404 41.1.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4.2.4.1. pasākuma "Atbalsts nozaru vajadzībās balstītai pieaugušo izglītībai" otrās kārtas projektu iesniegumu atlases noslēguma ir precizēts projektu iesniegumos apstiprinātais attiecināmo izmaksu apjoms. Līdz ar to MK noteikumu Nr.404 8. punktā noteiktais otrajai kārtai pieejamais finansējums vairs neatbilst faktiskajam projektu atlases rezultātā apstiprinātajam finansējuma sadalījumam, tādēļ nepieciešams aktualizēt finansējuma apmērus.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Nr.404 65. punkts nenosaka prasmju fonda pārvaldītāja rīcību ar no komersanta atgūto nelikumīgo komercdarbības atbalstu gadījumā, ja tas netiek atkārtoti piešķirts citam komersantam atbalsta programmas ietvaros, tādējādi radot nenoteiktību par šo publisko līdzekļu atmaksu sadarbības iestādei.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4.2.4.1. pasākuma otrās kārtas projektu atlase īstenota atklātā projektu iesniegumu atlases kārtībā. Projektu iesniegumu pieņemšana notika no 2025. gada 16. septembra līdz 2025. gada 18. decembrim. Projektu iesniegumu vērtēšana tika organizēta no 2025. gada 19. decembra līdz 2026. gada 18. martam. Līgumus ar projektu iesniedzējiem plānots noslēgt ne vēlāk kā līdz 2026. gada jūnija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MK noteikumu Nr. 404 41.1. apakšpunktā noteiktajā termiņā – līdz 2026. gada 31. maijam – finansējuma saņēmējs nevarēs izstrādāt un ar Izglītības un zinātnes ministriju saskaņot ziņojumu par Prasmju fonda pilotprojekta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izmaiņas AF plānā un ar Prasmju fonda pilotprojektu saistīto rādītāju svītrošanu, ar noteikumu projektu tiek precizēts MK noteikumu Nr. 404 41.1. apakšpunktā noteiktais termiņš, kādā finansējuma saņēmējs izstrādā un ar Izglītības un zinātnes ministriju saskaņo ziņojumu par Prasmju fonda pilotprojekta rezultātiem un priekšlikumiem tā darbības pilnveidošanai un turpmākai īstenošanai līdz 2029. gadam. Lai nodrošinātu notikušajai atlasei atbilstošu un pirmo mācību ciklu īstenošanai un to pilnveidošanai nepieciešamo procesu izvērtēšanai nepieciešamo laiku, termiņš tiek pagarināts līdz 2027. gada 31. maijam.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arī precizēt MK noteikumu Nr.404 8. punktā noteikto 4.2.4.1. pasākuma otrās kārtas finansējumu atbilstoši projektu iesniegumu atlases rezultātā apstiprinātajām izmaksām. Pasākuma otrajai kārtai kopējais pieejamais attiecināmais finansējums tiek precizēts no 6 066 027 </w:t>
      </w:r>
      <w:r w:rsidR="00000000" w:rsidRPr="00000000" w:rsidDel="00000000">
        <w:rPr>
          <w:i w:val="1"/>
          <w:rtl w:val="0"/>
        </w:rPr>
        <w:t xml:space="preserve">euro</w:t>
      </w:r>
      <w:r w:rsidR="00000000" w:rsidRPr="00000000" w:rsidDel="00000000">
        <w:rPr>
          <w:rtl w:val="0"/>
        </w:rPr>
        <w:t xml:space="preserve"> uz 6 065 918 </w:t>
      </w:r>
      <w:r w:rsidR="00000000" w:rsidRPr="00000000" w:rsidDel="00000000">
        <w:rPr>
          <w:i w:val="1"/>
          <w:rtl w:val="0"/>
        </w:rPr>
        <w:t xml:space="preserve">euro</w:t>
      </w:r>
      <w:r w:rsidR="00000000" w:rsidRPr="00000000" w:rsidDel="00000000">
        <w:rPr>
          <w:rtl w:val="0"/>
        </w:rPr>
        <w:t xml:space="preserve">, tai skaitā publiskais finansējums – no 5 762 726 </w:t>
      </w:r>
      <w:r w:rsidR="00000000" w:rsidRPr="00000000" w:rsidDel="00000000">
        <w:rPr>
          <w:i w:val="1"/>
          <w:rtl w:val="0"/>
        </w:rPr>
        <w:t xml:space="preserve">euro</w:t>
      </w:r>
      <w:r w:rsidR="00000000" w:rsidRPr="00000000" w:rsidDel="00000000">
        <w:rPr>
          <w:rtl w:val="0"/>
        </w:rPr>
        <w:t xml:space="preserve"> uz 5 762 620 </w:t>
      </w:r>
      <w:r w:rsidR="00000000" w:rsidRPr="00000000" w:rsidDel="00000000">
        <w:rPr>
          <w:i w:val="1"/>
          <w:rtl w:val="0"/>
        </w:rPr>
        <w:t xml:space="preserve">euro</w:t>
      </w:r>
      <w:r w:rsidR="00000000" w:rsidRPr="00000000" w:rsidDel="00000000">
        <w:rPr>
          <w:rtl w:val="0"/>
        </w:rPr>
        <w:t xml:space="preserve"> (Eiropas Sociālā fonda Plus finansējums – no 4 898 317 </w:t>
      </w:r>
      <w:r w:rsidR="00000000" w:rsidRPr="00000000" w:rsidDel="00000000">
        <w:rPr>
          <w:i w:val="1"/>
          <w:rtl w:val="0"/>
        </w:rPr>
        <w:t xml:space="preserve">euro</w:t>
      </w:r>
      <w:r w:rsidR="00000000" w:rsidRPr="00000000" w:rsidDel="00000000">
        <w:rPr>
          <w:rtl w:val="0"/>
        </w:rPr>
        <w:t xml:space="preserve"> uz 4 898 227 </w:t>
      </w:r>
      <w:r w:rsidR="00000000" w:rsidRPr="00000000" w:rsidDel="00000000">
        <w:rPr>
          <w:i w:val="1"/>
          <w:rtl w:val="0"/>
        </w:rPr>
        <w:t xml:space="preserve">euro</w:t>
      </w:r>
      <w:r w:rsidR="00000000" w:rsidRPr="00000000" w:rsidDel="00000000">
        <w:rPr>
          <w:rtl w:val="0"/>
        </w:rPr>
        <w:t xml:space="preserve"> un valsts budžeta līdzfinansējums – no 864 409 </w:t>
      </w:r>
      <w:r w:rsidR="00000000" w:rsidRPr="00000000" w:rsidDel="00000000">
        <w:rPr>
          <w:i w:val="1"/>
          <w:rtl w:val="0"/>
        </w:rPr>
        <w:t xml:space="preserve">euro</w:t>
      </w:r>
      <w:r w:rsidR="00000000" w:rsidRPr="00000000" w:rsidDel="00000000">
        <w:rPr>
          <w:rtl w:val="0"/>
        </w:rPr>
        <w:t xml:space="preserve"> uz 864 393 euro), kā arī privātais finansējums – no 303 301 </w:t>
      </w:r>
      <w:r w:rsidR="00000000" w:rsidRPr="00000000" w:rsidDel="00000000">
        <w:rPr>
          <w:i w:val="1"/>
          <w:rtl w:val="0"/>
        </w:rPr>
        <w:t xml:space="preserve">euro</w:t>
      </w:r>
      <w:r w:rsidR="00000000" w:rsidRPr="00000000" w:rsidDel="00000000">
        <w:rPr>
          <w:rtl w:val="0"/>
        </w:rPr>
        <w:t xml:space="preserve"> uz 303 298 </w:t>
      </w:r>
      <w:r w:rsidR="00000000" w:rsidRPr="00000000" w:rsidDel="00000000">
        <w:rPr>
          <w:i w:val="1"/>
          <w:rtl w:val="0"/>
        </w:rPr>
        <w:t xml:space="preserve">euro</w:t>
      </w:r>
      <w:r w:rsidR="00000000" w:rsidRPr="00000000" w:rsidDel="00000000">
        <w:rPr>
          <w:rtl w:val="0"/>
        </w:rPr>
        <w:t xml:space="preserve">. Precizējumi veikti, lai nodrošinātu noteikumu atbilstību projektu iesniegumu atlases rezultātā apstiprinātajam finansējuma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ietvertajiem grozījumiem ir vienādi pozitīva ietekme uz finansējuma saņēmējiem un līgumiem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Grozījumiem ir tehnisks raksturs, un tie nemaina pasākuma mērķi, atbalstāmās darbības vai finansējuma avotu proporcijas.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prasmju fonda pārvaldītājs ir privātpersona un publiskie līdzekļi ir atmaksājami atpakaļ valstij (valsts iestādei), ja tie netiek atkārtoti piešķirti atbalsta programmas ietvaros citam komersantam, MK noteikumu Nr. 404 65. punkts tiek papildināts, tajā nosakot, ka, ja no komersanta atgūto nelikumīgo komercdarbības atbalstu prasmju fonda pārvaldītājs atbalsta programmas ietvaros nepiešķir citam komersantam, tad prasmju fonda pārvaldītājam ir pienākums to atmaksāt sadarbības iestādei.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26-TA-894</w:t>
    </w:r>
    <w:r>
      <w:br/>
    </w:r>
    <w:r w:rsidR="00000000" w:rsidRPr="00000000" w:rsidDel="00000000">
      <w:rPr>
        <w:rtl w:val="0"/>
      </w:rPr>
      <w:t xml:space="preserve">Izdrukāts 04.08.2026. 16.22 - 3.0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26-TA-894</w:t>
    </w:r>
    <w:r>
      <w:br/>
    </w:r>
    <w:r w:rsidR="00000000" w:rsidRPr="00000000" w:rsidDel="00000000">
      <w:rPr>
        <w:rtl w:val="0"/>
      </w:rPr>
      <w:t xml:space="preserve">Izdrukāts 04.08.2026. 16.22 - 3.0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anotācija_(ex_ante)_26-TA-894.docx</dc:title>
</cp:coreProperties>
</file>

<file path=docProps/custom.xml><?xml version="1.0" encoding="utf-8"?>
<Properties xmlns="http://schemas.openxmlformats.org/officeDocument/2006/custom-properties" xmlns:vt="http://schemas.openxmlformats.org/officeDocument/2006/docPropsVTypes"/>
</file>