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noteikumi"[1]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 582 https://likumi.lv/ta/id/335764-eiropas-savienibas-atveselosanas-un-noturibas-mehanisma-plana-31-reformu-un-investiciju-virzienu-regionala-politika-3121i-investicijas-publisko-pakalpojumu-un-nodarbinatibas-pieejamibas-veicinasanas-pasakumi-cilvekiem-ar-funkcionaliem-traucejumiem-pirmas-kartas-valsts-un-pasvaldibu-eku-vides-pieejamibas-nodrosinasanas-pasakumiistenosanas-noteikumi?&amp;search=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par budžetu un finanšu vadību https://likumi.lv/ta/id/58057-likums-par-budzetu-un-finansu-vadibu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precizēt  3.1.2.1.i. investīcijas pirmās kārtas "Valsts un pašvaldību ēku vides pieejamības nodrošināšanas pasākumi" (turpmāk – 3.1.2.1.i. investīcijas pirmā kārta) pieejamo Atveseļošanas fonda (turpmāk – AF)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īstenošanas nosacījumus reglamentē Ministru kabineta 2022. gada 20. septembra noteikumi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Saskaņā ar minēto MK noteikumu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MK noteikumu Nr. 582 11. punktu 3.1.2.1.i. investīcijas pirmās kārtai pieejamais AF finansējums ir 8 926 213 euro. Papildu finansējumu veido valsts budžeta finansējums pievienotās vērtības nodokļa segšanai – indikatīvi 293 243 euro, kā arī pašvaldības finansējums vai privātais finansējums pievienotās vērtības nodokļa segšanai vai projekta atbalstāmo darbību īstenošanai, ja projekta izmaksas pārsniedz tam pieejamo AF finansējumu un valsts budžeta finansējumu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fondu tematiskās komitejas</w:t>
      </w:r>
      <w:r w:rsidR="00000000" w:rsidRPr="00000000" w:rsidDel="00000000">
        <w:rPr>
          <w:vertAlign w:val="superscript"/>
          <w:rtl w:val="0"/>
        </w:rPr>
        <w:t xml:space="preserve">[1]</w:t>
      </w:r>
      <w:r w:rsidR="00000000" w:rsidRPr="00000000" w:rsidDel="00000000">
        <w:rPr>
          <w:rtl w:val="0"/>
        </w:rPr>
        <w:t xml:space="preserve"> 2025. gada 29.  augusta sēdē pieņemto lēmumu AF fonda pārvaldībā iesaistītās ministrijas identificētos AF atlikumus var izmantot savas nozares AF projektu īstenošanai, bet par AF atlikumu, kas sasniedz vismaz 1 milj. </w:t>
      </w:r>
      <w:r w:rsidR="00000000" w:rsidRPr="00000000" w:rsidDel="00000000">
        <w:rPr>
          <w:i w:val="1"/>
          <w:rtl w:val="0"/>
        </w:rPr>
        <w:t xml:space="preserve">euro</w:t>
      </w:r>
      <w:r w:rsidR="00000000" w:rsidRPr="00000000" w:rsidDel="00000000">
        <w:rPr>
          <w:rtl w:val="0"/>
        </w:rPr>
        <w:t xml:space="preserve">, izmantošanu lemj ES fondu tematiskā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rīkojums Nr. 2025/1.2.1.-255, Rīgā 2025. gada 22. jūlijā; https://likumi.lv/ta/id/362103-par-eiropas-savienibas-fondu-tematisko-komiteju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(turpmāk - KP VIS) datiem 3.1.2.1.i. investīcijas pirmās kārtas “Valsts un pašvaldību ēku vides pieejamības nodrošināšanas pasākums” ietvaros šobrīd izveidojies AF finansējuma atlikums 332 724 </w:t>
      </w:r>
      <w:r w:rsidR="00000000" w:rsidRPr="00000000" w:rsidDel="00000000">
        <w:rPr>
          <w:i w:val="1"/>
          <w:rtl w:val="0"/>
        </w:rPr>
        <w:t xml:space="preserve">euro</w:t>
      </w:r>
      <w:r w:rsidR="00000000" w:rsidRPr="00000000" w:rsidDel="00000000">
        <w:rPr>
          <w:rtl w:val="0"/>
        </w:rPr>
        <w:t xml:space="preserve"> apmērā un valsts budžeta (turpmāk – VB) finansējuma atlikums 40 478 </w:t>
      </w:r>
      <w:r w:rsidR="00000000" w:rsidRPr="00000000" w:rsidDel="00000000">
        <w:rPr>
          <w:i w:val="1"/>
          <w:rtl w:val="0"/>
        </w:rPr>
        <w:t xml:space="preserve">euro</w:t>
      </w:r>
      <w:r w:rsidR="00000000" w:rsidRPr="00000000" w:rsidDel="00000000">
        <w:rPr>
          <w:rtl w:val="0"/>
        </w:rPr>
        <w:t xml:space="preserve"> apmērā. Finanšu atlikums ir izveidojies, noslēdzoties Tukuma novada pašvaldības (AF finansējuma atlikums 19 919.30 </w:t>
      </w:r>
      <w:r w:rsidR="00000000" w:rsidRPr="00000000" w:rsidDel="00000000">
        <w:rPr>
          <w:i w:val="1"/>
          <w:rtl w:val="0"/>
        </w:rPr>
        <w:t xml:space="preserve">euro</w:t>
      </w:r>
      <w:r w:rsidR="00000000" w:rsidRPr="00000000" w:rsidDel="00000000">
        <w:rPr>
          <w:rtl w:val="0"/>
        </w:rPr>
        <w:t xml:space="preserve">), Krāslavas novada pašvaldības (AF finansējuma atlikums 34 778.99 </w:t>
      </w:r>
      <w:r w:rsidR="00000000" w:rsidRPr="00000000" w:rsidDel="00000000">
        <w:rPr>
          <w:i w:val="1"/>
          <w:rtl w:val="0"/>
        </w:rPr>
        <w:t xml:space="preserve">euro</w:t>
      </w:r>
      <w:r w:rsidR="00000000" w:rsidRPr="00000000" w:rsidDel="00000000">
        <w:rPr>
          <w:rtl w:val="0"/>
        </w:rPr>
        <w:t xml:space="preserve">), valsts sabiedrības ar ierobežotu atbildību "Šampētera nams" (AF finansējuma atlikums 219 718 </w:t>
      </w:r>
      <w:r w:rsidR="00000000" w:rsidRPr="00000000" w:rsidDel="00000000">
        <w:rPr>
          <w:i w:val="1"/>
          <w:rtl w:val="0"/>
        </w:rPr>
        <w:t xml:space="preserve">euro</w:t>
      </w:r>
      <w:r w:rsidR="00000000" w:rsidRPr="00000000" w:rsidDel="00000000">
        <w:rPr>
          <w:rtl w:val="0"/>
        </w:rPr>
        <w:t xml:space="preserve">, VB finansējuma atlikums 40 478 </w:t>
      </w:r>
      <w:r w:rsidR="00000000" w:rsidRPr="00000000" w:rsidDel="00000000">
        <w:rPr>
          <w:i w:val="1"/>
          <w:rtl w:val="0"/>
        </w:rPr>
        <w:t xml:space="preserve">euro</w:t>
      </w:r>
      <w:r w:rsidR="00000000" w:rsidRPr="00000000" w:rsidDel="00000000">
        <w:rPr>
          <w:rtl w:val="0"/>
        </w:rPr>
        <w:t xml:space="preserve">) un Salaspils novada pašvaldības (AF finansējuma atlikums 58 308 </w:t>
      </w:r>
      <w:r w:rsidR="00000000" w:rsidRPr="00000000" w:rsidDel="00000000">
        <w:rPr>
          <w:i w:val="1"/>
          <w:rtl w:val="0"/>
        </w:rPr>
        <w:t xml:space="preserve">euro</w:t>
      </w:r>
      <w:r w:rsidR="00000000" w:rsidRPr="00000000" w:rsidDel="00000000">
        <w:rPr>
          <w:rtl w:val="0"/>
        </w:rPr>
        <w:t xml:space="preserve">) projektu īstenošanai. Lai arī Centrālā finanšu un līgumu aģentūra (turpmāk – CFLA) vēl nav apstiprinājusi noslēgumu pārskatus valsts sabiedrības ar ierobežotu atbildību "Šampētera nams" un  Salaspils novada pašvaldības projektiem, risks, ka šis AF finansējums būs nepieciešams šiem abiem projektiem, ir minimāls, jo par indikatīvo atlikumu finansējuma saņēmēji ir informējuši CFLA kā līgumslēdzējiestādi Kohēzijas politikas fondu vadības informācijas sistēmā (turpmāk – KP VIS). Ja šis risks tomēr iestāsies, tad finansējums šiem diviem projektiem tiks pārdalīts no citiem 3.1.2.1.i. investīcijas pirmās kārtas projektu finansējuma atlikumiem, kas, kā liecina līdzšinējā pieredze, veidojas projektu beigu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atlikumiem, kas veidosies, noslēdzoties citiem 3.1.2.1.i. investīcijas pirmās kārtas projektiem, ministrija vērtēs vajadzību novirzīt savas pārziņas investīciju projektu īstenošanai, sagatavojot atbilstošus grozījumus attiecīgās investīcijas Ministru kabineta (turpmāk – MK) noteikumos. Šobrīd nav iespējams prognozēt precīzu finansējuma atlikuma summu 3.1.2.1.i. investīcijas ietvaros, taču prognozējams, ka finansējuma atlikumi vairs nepārsniegs 1 milj. </w:t>
      </w:r>
      <w:r w:rsidR="00000000" w:rsidRPr="00000000" w:rsidDel="00000000">
        <w:rPr>
          <w:i w:val="1"/>
          <w:rtl w:val="0"/>
        </w:rPr>
        <w:t xml:space="preserve">euro</w:t>
      </w:r>
      <w:r w:rsidR="00000000" w:rsidRPr="00000000" w:rsidDel="00000000">
        <w:rPr>
          <w:rtl w:val="0"/>
        </w:rPr>
        <w:t xml:space="preserve"> (3.1.2.1.i. investīcijas finanšu ietilpīgāko finansējumu atlikumu izmantošana jau ir saskaņota ministru Eiropas Savienības fondu tematiskās komitejas sēdē un novirzīta Ekonomikas ministrijas investīcijām).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20. janvāra MK sēdē tika apstiprināti grozījumi MK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ar kuriem tika noteikta iespēja 3.1.2.1.i. investīcijas otrajā kārtā "Atbalsta pasākumi cilvēkiem ar invaliditāti mājokļu vides pieejamības nodrošināšanai" (turpmāk – otrā kārta) īstenot jaunu papildu atbalstāmo darbību vides pieejamības nodrošināšana ēkās, kurās sniedz publiskos pakalpojumus. 2026. gada 21. janvārī ministrija sagatavoja un nosūtīja vēstuli visām 39 pašvaldībām (finansējuma saņēmējiem) ar aicinājumu izvērtēt iespēju papildus mājokļu vides pieejamības atbalstam īstenot jaunu atbalstāmo darbību – ēku, kurās sniedz pašvaldību publiskos pakalpojumus, vides pieejamības nodrošināšanu. Pieprasījumus pēc papildu AF atbalsta ēku vides pieejamības nodrošināšanai ministrijā līdz 2026. gada 20. februārim iesniedza 29 pašvaldības par kopējo summu 1 484 846 </w:t>
      </w:r>
      <w:r w:rsidR="00000000" w:rsidRPr="00000000" w:rsidDel="00000000">
        <w:rPr>
          <w:i w:val="1"/>
          <w:rtl w:val="0"/>
        </w:rPr>
        <w:t xml:space="preserve">euro</w:t>
      </w:r>
      <w:r w:rsidR="00000000" w:rsidRPr="00000000" w:rsidDel="00000000">
        <w:rPr>
          <w:rtl w:val="0"/>
        </w:rPr>
        <w:t xml:space="preserve">, kas ievērojami pārsniedz šobrīd 3.1.2.1.i investīcijas otrās kārtas ietvaros pieejamo finansējumu (60 429.47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visus šobrīd atbrīvotos un apzinātos atlikumus 3.1.2.1.i. investīcijas pirmajā kārtā nepieciešams pārdalīt uz 3.1.2.1.i investīcijas otro kārtas jaunās papildu darbības īstenošanai (pēc AF finansējuma pārdales 3.1.2.1.i. investīcijas otrās kārtas AF finansējums būs 5 234 512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582 11. punktu, samazinot AF finansējuma apmēru par 332 724 </w:t>
      </w:r>
      <w:r w:rsidR="00000000" w:rsidRPr="00000000" w:rsidDel="00000000">
        <w:rPr>
          <w:i w:val="1"/>
          <w:rtl w:val="0"/>
        </w:rPr>
        <w:t xml:space="preserve">euro un </w:t>
      </w:r>
      <w:r w:rsidR="00000000" w:rsidRPr="00000000" w:rsidDel="00000000">
        <w:rPr>
          <w:rtl w:val="0"/>
        </w:rPr>
        <w:t xml:space="preserve">VB finansējuma apmēru par 40 478 </w:t>
      </w:r>
      <w:r w:rsidR="00000000" w:rsidRPr="00000000" w:rsidDel="00000000">
        <w:rPr>
          <w:i w:val="1"/>
          <w:rtl w:val="0"/>
        </w:rPr>
        <w:t xml:space="preserve">euro, </w:t>
      </w:r>
      <w:r w:rsidR="00000000" w:rsidRPr="00000000" w:rsidDel="00000000">
        <w:rPr>
          <w:rtl w:val="0"/>
        </w:rPr>
        <w:t xml:space="preserve">attiecīgi paredzot, ka 3.1.2.1.i. investīcijas pirmajai kārtai pieejamais AF finansējums ir 8 593 489 </w:t>
      </w:r>
      <w:r w:rsidR="00000000" w:rsidRPr="00000000" w:rsidDel="00000000">
        <w:rPr>
          <w:i w:val="1"/>
          <w:rtl w:val="0"/>
        </w:rPr>
        <w:t xml:space="preserve">euro </w:t>
      </w:r>
      <w:r w:rsidR="00000000" w:rsidRPr="00000000" w:rsidDel="00000000">
        <w:rPr>
          <w:rtl w:val="0"/>
        </w:rPr>
        <w:t xml:space="preserve">un VB finansējums pievienotās vērtības nodokļa segšanai – indikatīvi 252 765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neietekmē finansējuma saņēmējus, jo tiek pārdalīts 3.1.2.1.i. investīcijas pirmās kārtas finansējums, kas projektu īstenošanai vairs nav nepieciešams. Lai to nostiprinātu projekta līmenī, valsts sabiedrībai ar ierobežotu atbildību "Šampētera nams" un Salaspils novada pašvaldībai būs jāveic atbilstoši grozījumi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projektam ir pozitīva ietekme uz 3.1.2.1.i. investīcijas otrās kārtas papildu atbalstāmās darbības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novirzīšana 3.1.2.1.i. investīcijas otrajai kārtai ļaus sniegt plašāku atbalstu MK noteikumu Nr. 512 20.7. apakšpunktā minētās atbalstāmās darbības īstenošanai, kas, ņemot vērā pašvaldību lielo interesi un iesniegto pieprasījumu skaitu, ir uzskatāma par ļoti aktuālu un nepieciešamu investīciju vides pieejamības uzlabošanā, kā arī veido sinerģiju ar 3.1.2.1.i investīcijas pirmo kārtu, jo uzlabo publisko pakalpojumu infrastruktūras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2022. gada 22. maija sēdes protokola Nr. 17 34. § 8.7. apakšpunktā noteiktā pienākuma – informēt MK par AF atskaites punktu un mērķrādītāju sasniegšanu ar vairāk kā divu mēnešu kavējumu – izpildi, ministrija informē, ka 3.1.2.1.i. investīcijas 114. mērķrādītāja izpilde tiks kavēta, jo tā sasniegšanai ir nepieciešams ilgāks termiņš nekā sākotnēji bija plānots. Saskaņā ar operatīvajiem uzraudzības datiem vienā no projektiem (Dienvidkurzemes novada pašvaldībā) nepieciešams organizēt jaunu iepirkumu vides pieejamības pielāgojumu nodrošināšanai, kā rezultātā vides pieejamības pielāgojumu veikšanai nepieciešams papildu laiks. Minētais saistīts ar to, ka finansējuma saņēmējs ir lauzis iepriekš noslēgto ēku būvprojekta izstrādes un autoruzraudzības līgumu nekvalitatīvas pakalpojuma izpildes un pakalpojuma sniedzēja atteikšanās veikt nepieciešamās izmaiņas būvprojektā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114. mērķrādītāja sasniegšanu, šīs pašvaldības projekts tiek uzraudzīts pastiprināti no CFLA puses, organizējot sanāksmes ar pašvaldības, kā arī ministrijas pārstāvjiem un meklējot risinājumus mērķrādītāja izpildes veicināšanai (šādas sanāksmes ir notikušas, piemēram, 2025. gada 5. novembrī un 2026. gada 12.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12. marta sanāksmes ir prognozējams – ja būs veiksmīgs iepirkumu rezultāts, pašvaldība mērķrādītāju varētu sasniegt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gadījumā, ja joprojām iepriekš minētos riskus nebūs iespējams novērst līdz attiecīgajam termiņam, ministrija vērtēs iespēju veikt papildu MK noteikumu grozījumus un aizstāt Dienvidkurzemes novada pašvaldības ēku ar vienu no Viļānu apvienības pārvaldes papildu ēkām (MK noteikumu Nr. 582 pielikuma 39. vai 41. punktā minēto ēku). 3.1.2.1.i. investīcijas pirmajā kārtā ar 2025. gada 22. aprīļa MK sēdē apstiprinātajiem MK noteikumu Nr. 582 grozījumiem Nr. 244 tika papildināts noteikumu pielikums “Ēku saraksts, kuras atbilst atbalsta saņemšanas nosacījumiem vides pieejamības nodrošināšanai” ar divām ēkām, kuras veido “drošības rezervi”, ja kādu no pielāgojumiem, kas veikti citos projektos, nevarētu attiecināt. Attiecīgi kopumā pielāgojumi ir paredzēti 65 ēkās, no tām 63 ēkas iekļautas 114. mērķrādītāja sasniegšanai nepieciešamo ēku skaitā. Taču jāmin, ka šobrīd MK noteikumos ir noteikts, ka Viļānu apvienības pārvalde par MK noteikumu Nr. 582 pielikuma 39. un 41. punktā minētajām ēkām, ņemot vērā, ka finansējuma izmantošana abu ēku vides pieejamības nodrošināšanai sākotnēji nebija saistīta ar AF plānā noteiktā 114. mērķrādītāja sasniegšanu, piešķirto finansējumu var izmantot līdz 2026. gada 15. novembrim. Konstatējot riskus Dienvidkurzemes novada pašvaldības projektā, ministrija un CFLA ir aicinājusi Viļānu apvienības pārvaldi iespēju robežās veikt nepieciešamās darbības, lai būvniecību kādā no papildu ēkām varētu pabeigt ātrāk – t.i.,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gadījumā, ja kādā no iepriekš norādītajām Viļānu apvienības ēkām nebūs iespējams pabeigt būvdarbus un attiecīgi sasniegt atskaites punktu, 3.1.2.1.i. investīcijas pirmās kārtas 114. mērķrādītāja sasniegšana tiks nodrošināta ne mazāk kā 95 procentu apmērā (t.i., atbalstot 62 ēkas, kas veidotu 98 procentus). To pieļauj Eiropas Komisijas vadlīnijas – Eiropas Komisijas 2023. gada 21. februāra Paziņojums Eiropas Parlamentam un Padomei Nr. COM(2023) 99 final (atbilstoši 3.3. sadaļai “Maksājumu apturēšanas metodika” un II pielikumam “Komisijas metodika maksājumu apturēšanas noteikšanai saskaņā ar Atveseļošanas un noturības mehānisma regulu”). Arī šajā gadījumā tiks īstenotas visas nepieciešamās darbības visu 65 ēku vides pielāgošanai līdz 2026. gada 15. novembrim.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1 558 130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1 558 130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1 616 041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-57 911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582 līdzšinēji spēkā esošajai redakcijai 3.1.2.1.i. investīcijas pirmās kārtas AF attiecināmais finansējums ir 8 926 213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ne vairāk kā 293 243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uzrādīts 3.1.2.1.i. investīcijas pirmās kārtas attiecināmais AF finansējums 2026. gadā  1 558 130 </w:t>
            </w:r>
            <w:r w:rsidR="00000000" w:rsidRPr="00000000" w:rsidDel="00000000">
              <w:rPr>
                <w:sz w:val="24"/>
                <w:i w:val="1"/>
                <w:rtl w:val="0"/>
              </w:rPr>
              <w:t xml:space="preserve">euro</w:t>
            </w:r>
            <w:r w:rsidR="00000000" w:rsidRPr="00000000" w:rsidDel="00000000">
              <w:rPr>
                <w:sz w:val="24"/>
                <w:rtl w:val="0"/>
              </w:rPr>
              <w:t xml:space="preserve">, VB finansējums 57 911 </w:t>
            </w:r>
            <w:r w:rsidR="00000000" w:rsidRPr="00000000" w:rsidDel="00000000">
              <w:rPr>
                <w:sz w:val="24"/>
                <w:i w:val="1"/>
                <w:rtl w:val="0"/>
              </w:rPr>
              <w:t xml:space="preserve">euro</w:t>
            </w:r>
            <w:r w:rsidR="00000000" w:rsidRPr="00000000" w:rsidDel="00000000">
              <w:rPr>
                <w:sz w:val="24"/>
                <w:rtl w:val="0"/>
              </w:rPr>
              <w:t xml:space="preserve"> un pašvaldību finansējums 530 111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iesniegtajiem projektu plānotajiem progresa pārskatu iesniegšanas grafikiem, kur finansējuma saņēmēji norāda plānotos avansa, starpposma un noslēguma maksājumus katrā projekta īstenošanas gadā, kā arī pieejamo faktisko izdevumu izpildi un finansējuma samazinājuma informāciju pēc iesniegtajiem līgumu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projektu plānotais 3.1.2.1.i. investīcijas pirmās kārtas AF finansējums  8 593 489 euro un VB finansējums 252 765 </w:t>
            </w:r>
            <w:r w:rsidR="00000000" w:rsidRPr="00000000" w:rsidDel="00000000">
              <w:rPr>
                <w:sz w:val="24"/>
                <w:i w:val="1"/>
                <w:rtl w:val="0"/>
              </w:rPr>
              <w:t xml:space="preserve">euro</w:t>
            </w:r>
            <w:r w:rsidR="00000000" w:rsidRPr="00000000" w:rsidDel="00000000">
              <w:rPr>
                <w:sz w:val="24"/>
                <w:rtl w:val="0"/>
              </w:rPr>
              <w:t xml:space="preserve"> (kopā – 8 846 254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3.1.2.1.i. investīcijas pirmās kārtas projektu darbību īstenošanai izmantotais finansējums 2023., 2024. un 2025. gadā bija 9 073 697 </w:t>
            </w:r>
            <w:r w:rsidR="00000000" w:rsidRPr="00000000" w:rsidDel="00000000">
              <w:rPr>
                <w:sz w:val="24"/>
                <w:i w:val="1"/>
                <w:rtl w:val="0"/>
              </w:rPr>
              <w:t xml:space="preserve">euro</w:t>
            </w:r>
            <w:r w:rsidR="00000000" w:rsidRPr="00000000" w:rsidDel="00000000">
              <w:rPr>
                <w:sz w:val="24"/>
                <w:rtl w:val="0"/>
              </w:rPr>
              <w:t xml:space="preserve">, t.sk. AF finansējums 7 368 083 </w:t>
            </w:r>
            <w:r w:rsidR="00000000" w:rsidRPr="00000000" w:rsidDel="00000000">
              <w:rPr>
                <w:sz w:val="24"/>
                <w:i w:val="1"/>
                <w:rtl w:val="0"/>
              </w:rPr>
              <w:t xml:space="preserve">euro</w:t>
            </w:r>
            <w:r w:rsidR="00000000" w:rsidRPr="00000000" w:rsidDel="00000000">
              <w:rPr>
                <w:sz w:val="24"/>
                <w:rtl w:val="0"/>
              </w:rPr>
              <w:t xml:space="preserve">, valsts budžeta finansējums 235 332 </w:t>
            </w:r>
            <w:r w:rsidR="00000000" w:rsidRPr="00000000" w:rsidDel="00000000">
              <w:rPr>
                <w:sz w:val="24"/>
                <w:i w:val="1"/>
                <w:rtl w:val="0"/>
              </w:rPr>
              <w:t xml:space="preserve">euro</w:t>
            </w:r>
            <w:r w:rsidR="00000000" w:rsidRPr="00000000" w:rsidDel="00000000">
              <w:rPr>
                <w:sz w:val="24"/>
                <w:rtl w:val="0"/>
              </w:rPr>
              <w:t xml:space="preserve"> (PVN izmaksu segšanai valsts akciju sabiedrība "Valsts nekustamie īpašumi" un VSIA "Šampētera nams" projektam) un pašvaldību finansējums 1 470 282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turpmākajam projektu īstenošanas periodam, ietverot AF finansējuma samazinājumu 332 724 </w:t>
            </w:r>
            <w:r w:rsidR="00000000" w:rsidRPr="00000000" w:rsidDel="00000000">
              <w:rPr>
                <w:sz w:val="24"/>
                <w:i w:val="1"/>
                <w:rtl w:val="0"/>
              </w:rPr>
              <w:t xml:space="preserve">euro</w:t>
            </w:r>
            <w:r w:rsidR="00000000" w:rsidRPr="00000000" w:rsidDel="00000000">
              <w:rPr>
                <w:sz w:val="24"/>
                <w:rtl w:val="0"/>
              </w:rPr>
              <w:t xml:space="preserve"> un VB finansējuma samazinājumu 40 478 </w:t>
            </w:r>
            <w:r w:rsidR="00000000" w:rsidRPr="00000000" w:rsidDel="00000000">
              <w:rPr>
                <w:sz w:val="24"/>
                <w:i w:val="1"/>
                <w:rtl w:val="0"/>
              </w:rPr>
              <w:t xml:space="preserve">eur</w:t>
            </w:r>
            <w:r w:rsidR="00000000" w:rsidRPr="00000000" w:rsidDel="00000000">
              <w:rPr>
                <w:sz w:val="24"/>
                <w:rtl w:val="0"/>
              </w:rPr>
              <w:t xml:space="preserve">o, izdevumi plānoti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kopējais prognozētais plānotais finansējums projektu īstenošanai ir 1 772 950 </w:t>
            </w:r>
            <w:r w:rsidR="00000000" w:rsidRPr="00000000" w:rsidDel="00000000">
              <w:rPr>
                <w:sz w:val="24"/>
                <w:i w:val="1"/>
                <w:rtl w:val="0"/>
              </w:rPr>
              <w:t xml:space="preserve">euro</w:t>
            </w:r>
            <w:r w:rsidR="00000000" w:rsidRPr="00000000" w:rsidDel="00000000">
              <w:rPr>
                <w:sz w:val="24"/>
                <w:rtl w:val="0"/>
              </w:rPr>
              <w:t xml:space="preserve"> (t.sk. AF finansējums 1 225 406 </w:t>
            </w:r>
            <w:r w:rsidR="00000000" w:rsidRPr="00000000" w:rsidDel="00000000">
              <w:rPr>
                <w:sz w:val="24"/>
                <w:i w:val="1"/>
                <w:rtl w:val="0"/>
              </w:rPr>
              <w:t xml:space="preserve">euro</w:t>
            </w:r>
            <w:r w:rsidR="00000000" w:rsidRPr="00000000" w:rsidDel="00000000">
              <w:rPr>
                <w:sz w:val="24"/>
                <w:rtl w:val="0"/>
              </w:rPr>
              <w:t xml:space="preserve">, VB finansējums 17 433 </w:t>
            </w:r>
            <w:r w:rsidR="00000000" w:rsidRPr="00000000" w:rsidDel="00000000">
              <w:rPr>
                <w:sz w:val="24"/>
                <w:i w:val="1"/>
                <w:rtl w:val="0"/>
              </w:rPr>
              <w:t xml:space="preserve">euro</w:t>
            </w:r>
            <w:r w:rsidR="00000000" w:rsidRPr="00000000" w:rsidDel="00000000">
              <w:rPr>
                <w:sz w:val="24"/>
                <w:rtl w:val="0"/>
              </w:rPr>
              <w:t xml:space="preserve"> (PVN izmaksu segšanai VSIA "Šampētera nams" projektam) un pašvaldību finansējums 530 111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projektu īstenošanai nepieciešamais finansējums tiek plānots Finanšu ministrijas valsts budžeta apakšprogrammā 74.07.00 "Atveseļošanas un noturības mehānisma (ANM) finansējums projektu un pasākumu īstenotājiem".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(26-TA-296)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finansējuma ietaupījuma pārdali 3.1.2.1.i. investīcijas otrās kārtas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investīcijas 3.1.2.1.i. investīcijas otrās kārtas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26-TA-515</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26-TA-515</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anotācija_(ex_ante)_26-TA-515.docx</dc:title>
</cp:coreProperties>
</file>

<file path=docProps/custom.xml><?xml version="1.0" encoding="utf-8"?>
<Properties xmlns="http://schemas.openxmlformats.org/officeDocument/2006/custom-properties" xmlns:vt="http://schemas.openxmlformats.org/officeDocument/2006/docPropsVTypes"/>
</file>