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1.2.2. specifiskā atbalsta mērķa "Izmantot digitalizācijas priekšrocības uzņēmējdarbības attīstībai" 1.2.2.1. pasākuma "Atbalsts procesu digitalizācijai komercdarbībā"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"Eiropas Savienības kohēzijas politikas programmas 2021.–2027.gadam 1.2.2. specifiskā atbalsta mērķa "Izmantot digitalizācijas priekšrocības uzņēmējdarbības attīstībai" 1.2.2.1. pasākuma "Atbalsts procesu digitalizācijai komercdarbībā" īstenošanas noteikumi" (turpmāk – Noteikumu projekts) ir izstrādāts saskaņā ar Eiropas Savienības fondu 2021.-2027.gada plānošanas perioda vadības likuma (turpmāk – Fondu vadības likums) 19. panta 6. un 13. punktu, Eiropas Savienības kohēzijas politikas programmu 2021. - 2027.gadam (turpmāk - KPP) un Nacionālās industriālās politikas pamatnostādnēm 2021. - 2027.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nodrošināt finansējuma pieejamību procesu digitalizācijai komercdarbībā, kā arī veicināt produktivitātes paaugstināšanu ar mērķtiecīgu resursu ieguldīšanu augstākas pievienotās vērtības radīšanai komersantu komercdarbības procesos.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2021.gada 16.februāra rīkojumu Nr.93 “Par Nacionālās industriālās politikas pamatnostādnēm 2021.-2027. gadam” atbalstītajās Nacionālās industriālās politikas pamatnostādnēs 2021.-2027. gadam (turpmāk – NIP) noteiktie mērķi paredz sekmēt augsto tehnoloģiju preču un zināšanu ietilpīgu pakalpojumu eksporta īpatsvara pieaugumu kopējā eksporta apjomā, vienlīdz sekmējot arī standartizācijas un sertifikācijas sistēmas uzlabošanos, tādējādi veicinot inovācijās balstītu sektoru attīstību (tostarp inovatīva dizaina attīstību) un tradicionālo nozaru transformāciju uz augstāku pievienoto vērtību preču un pakalpojumu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NIP noteiktos mērķus, jau šobrīd Atveseļošanas un noturības mehānisma plāna (turpmāk - AF) ietvaros ir pieejamas atbalsta aktivitātes uzņēmumu komercdarbības digitalizācijai: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digitālā brieduma novērtēšanai - 2022. gada 13. septembrī MK ar noteikumiem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apstiprināja EM virzīto atbalsta programmu, kas paredz ar digitālo tehnoloģiju ieviešanas palīdzību veicināt komersantu konkurētspēju, kā arī digitālu un inovatīvu publisko pārvaldi, kurā tiek izmantotas tikpat modernas tehnoloģijas kā privātajā sektorā, veicināt risinājumu ieviešanu sasaistē ar viedās specializācijas stratēģiju, paaugstināt komersantu izpratni par digitālo tehnoloģiju sniegtajām priekšrocībām, kā arī nodrošināt piekļūstamību digitālās transformācijas procesu atbalstam visā Latvijas Republikas teritorijā un nodrošināt Latvijas pilntiesīgu iesaisti kopējā Eiropas digitālās inovācijas centru (turpmāk - EDIC) tīklā. Programmas mērķgrupas jeb gala labuma guvēji ir sīkais (mikro), mazais, vidējais komersants un lielais komersants, biedrība un nodibinājums, kas apvieno vismaz trīs komersantus vai pārstāv to intereses, publiska persona vai tās institūcija, publiskas personas kapitālsabiedrība, pētniecības un zināšanu izplatīšanas organizācija, zemnieku saimniecība, kooperatīvā sabiedrība, kas veic saimniecisko darbību. Atbalsta ietvaros ikviens interesents var saņemt konsultāciju, veikt digitālā brieduma testu, lai novērtētu sava uzņēmuma vai iestādes digitalizācijas pakāpi, saņemt digitālās attīstības ceļa karti prioritāro investīciju apzināšanai un mentoringu, kā digitalizēt uzņēmuma vai iestādes procesus. Kopējais investīcijas finansējums ir 10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digitālo procesu komercializācijai - 2023. gada 10. janvārī MK ar noteikumiem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apstiprināja EM virzīto atbalsta programmu, kas paredz izsniegt grantus digitālo produktu, pakalpojumu un lietojumprogrammu iegādei un digitālo risinājumu ieviešanai gala labuma guvēju komercdarbības pakalpojumu un procesu pārveidošanai, uzlabošanai un produktivitātes paaugstināšanai. Programmas ietvaros atbalstu saņem ne tikai sīkais (mikro), mazais, vidējais, lielais komersants, tai skaitā juridiskas personas ārvalstu filiāle, zemnieku saimniecība, kooperatīvā sabiedrība, bet arī biedrība un nodibinājums, kas apvieno vismaz trīs komersantus vai pārstāv to intereses, kā arī pētniecības un zināšanu izplatīšanas organizācijas, publiskas personas kapitālsabiedrības. Granta saņemšanai ar otrreizējo digitālā brieduma testu tiek novērtēts digitālo un inovāciju briedums pēc investīciju projekta īstenošanas atbilstoši digitālās attīstības ceļa kartei, identificējot, ka digitālās attīstības ceļa kartē noteiktais ir izpildīts un konkrēto iekārtu vai programmatūras iegāde ir sniegusi pienesumu procesu digitalizācijā. Kopējais investīcijas finansējums ir 40,14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inovāciju un tehnoloģiju attīstība, produktivitātes paaugstināšana panākama ar mērķtiecīgu resursu ieguldīšanu augstākas pievienotās vērtības radīšanai un pārdošanai globālajā tirgū. Atbalstot vietējos uzņēmumus un veicinot to internacionalizācijas kapacitātes attīstību, stiprinot zināšanu pārneses procesu un ieviešot inovatīvas un jaunas tehnoloģijas, pilnveidojot nodarbināto kompetences – tā rezultātā tiks veidotas uz zināšanām un inovācijām balstītas Latvijas konkurētspējas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uzņēmuma individuālās vajadzības ietekmē tā lielums, darbības veids, darbības mērogs, vidējais vecums darbiniekiem, uzņēmumu vadītāja izpratne par digitalizācijas procesiem un to nozīmīgumu turpmākā izaugsmē, uzņēmuma ambīcijas un citi faktori, kas liedz nodrošināt vienlīdzīgu pieeju visu Latvijas uzņēmumu digitālās transformācijas veicināšanā. Būtisks priekšnoteikums pārejai uz internacionālu ekonomiku ir uzņēmējdarbības digitālās kapacitātes stiprināšana, novēršot tās nepilnības, sniedzot atbalstu modernu tehnoloģiju pilotēšanas un testēšanas darbībām, jaunu produktu un pakalpojumu izstrādei un radīšanai, kā arī iekšējo procesu digitalizācijai.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komercdarbības digitālo transformāciju, pasākuma ietvaros plānots turpināt AF laikā iesākto atbalsta sniegšanu komersantiem procesu digitalizācijai komercdarbībā.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uz ilgtermiņu un uz zināšanām un inovācijām vērstas Latvijas konkurētspējas investīcijas,  nepieciešams izstrādāt Eiropas Savienības kohēzijas politikas programmas 2021.–2027.gadam (turpmāk - politikas programma) 1.2.2. specifiskā atbalsta mērķa "Izmantot digitalizācijas priekšrocības uzņēmējdarbības attīstībai" 1.2.2.1. pasākumu "Atbalsts procesu digitalizācijai komercdarbībā" (turpmāk - pasākums), kas ietilpst politikas programmas pirmā politikas mērķī “Konkurētspējīgāka un viedāka Eiropa, veicinot inovatīvas un viedas ekonomiskās pārmaiņas un reģionālo IKT savienojamību”. Pirmā politikas mērķa galvenajām komponentēm – digitālajai un inovācijas komponentēm – ir izšķiroša nozīme ilgtspējīgas un iekļaujošas sabiedrības pārveidē uz sociālāku un konkurētspējīgāku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turpinās sniegt ieguldījumu NIP un Viedās specializācijas stratēģijā (turpmāk - RIS3) noteikto mērķu sasniegšanā, jo Noteikumu projektā paredzētās aktivitātes vērstas uz procesu digitalizācijas attīstību komercdarbībā un Latvijā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pasākums veicināts digitālās desmitgades mērķrādītāju sasniegšanu, īpaši digitālās intensitātes līmeni. 2023. gadā Latvija sagatavoja un apstiprināja informatīvo ziņojumu “Digitālās desmitgades stratēģiskais  ceļvedis Latvijai līdz 2030.gadam” kā to paredz Eiropas Parlamenta un Padomes lēmums (ES) 2022/2481, ar ko izveido Dekādes programmu, kurā tiek noteikti līdz 2030.gadam sasniedzamie vispārīgie digitālie mērķi un digitālie mērķrādītāji, to sasniegšanas uzraudzība un arī daudzvalstu projektu veidošana. Turpmāk par pamatu ņemot Latvijas Digitālās desmitgades stratēģiskajā ceļvedī norādīto un Eiropas Komisijas Digitālās dekādes faktu vākšanas misijās iegūto informāciju Eiropas Komisija gatavos ikgadēju informatīvo ziņojumu par progresu Digitālās desmitgades ceļveža digitālo mērķu un digitālo mērķrādītāju sasniegšanā un būtiskākajām veicinošajām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Digitālās dekādes 2023. gada informatīvo ziņojumu Latvijas veikums uzņēmumu digitalizācijas jomā joprojām ir tālu no Digitālās desmitgades mērķu sasniegšanas un liecina par ievērojamu uzlabojumu iespēju. Lai gan atsevišķos rādītājos Latvijā ir novērojami uzlabojumi, kopumā Latvija joprojām ir zem ES vidējā rādītāja. 2022. gadā 52% MVU bija vismaz pamata digitālās intensitātes līmenis, kas bija daudz zemāks par ES vidējo rādītāju 69%, un šobrīd noteikts Digitālās desmitgades mērķis – vairāk nekā 90% MVU, kas līdz 2030. gadam sasniedz vismaz pamata digitālās intensitātes līmeni. Latvijas uzņēmumu īpatsvars, kas izmanto mākoņpakalpojumus (22% 2021. gadā), ir bijis zems salīdzinājumā ar ES vidējo rādītāju (34%). 2021. gadā mākslīgā intelekta pakalpojumus izmantoja tikai 4% uzņēmumu zem ES vidējā līmeņa (8%). E-komercijā tiešsaistē pārdod tikai 16% MVU, un 8% MVU apgrozījuma veido e-komercija. Ilgtspējīgas digitālās ekonomikas attīstība ir viena no politikas veidošanas galvenajām prioritātēm, un Latvijai būtu ievērojami jāpastiprina savi centieni uzņēmumu digitalizācijas jomā. Proti, Latvijai būtu jāstiprina digitālo tehnoloģiju izplatīšanas un izmantošanas centieni un gan valsts, gan privāto dalībnieku kopīgi izstrādāto stratēģiju īstenošana, lai spēcīgi veicinātu jaunu progresīvu mākoņrisinājumu izmantošanu MVU ekosistēmās.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intensitātes indekss tiek iegūts no datiem par informācijas un komunikācijas tehnoloģiju izmantošanu un e-komerciju uzņēmumos. Digitālās intensitātes indekss ir viens no galvenajiem rezultatīvajiem rādītājiem Digitālās desmitgades kontekstā, kurā izklāstīti Eiropas mērķi attiecībā uz digitalizāciju. Digitālās transformācijas redzējums un konkrēti mērķi 2030. gadam ir iedalīti 4 punktos: prasmes, droša un ilgtspējīga digitālā infrastruktūra, uzņēmumu digitālā pārveide un sabiedrisko pakalpojumu digitalizācija.  Līdz ar to saistībā ar Eiropas Komisijas politikas programmā “Digitālās desmitgades ceļš” 2030.gadam noteiktajiem mērķrādītājiem un mērķiem, kas jāsasniedz līdz 2030. gadam, lai īstenotu Eiropas digitālo pārveidi, noteikts, ka Latvijas uzņēmējiem nepieciešams attīstīt tādas digitālās prasmes un kompetences, kas saistītas ar mākslīgā intelekta, lielo datu, mākoņdatošanas pakalpojumu izmantošanu, kā arī veicināt informācijas un komunikācijas tehnoloģiju (turpmāk - IKT) speciālistu skaitu, mazo un vidējo uzņēmumu skaitu, kam ir vismaz pamata digitālās intensitātes līmenis, un vienradžu jeb jaunuzņēmumu, kura tirgus vērtība sasniegusi miljardu ASV dolāru,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veiksmīgi notiktu komercdarbības digitālā transformācija, ir jāveicina komersantu izpratne par digitalizācijas procesiem, jo komersantiem, īpaši sīkiem (mikro), maziem un vidējiem (turpmāk - MVU), nav pietiekamas kompetences par procesiem un tehnoloģiskajām iespējām, ko sniedz digitalizācija un pastāv stereotipi, ka digitalizācijas risinājumi ir dārgi, sarežģīti ieviešami un nedroši. Vienlaikus MVU trūkst digitālo zināšanu (gan pamatprasmju, gan augstāka līmeņa un specifisku prasmju). Līdz ar to nepieciešama valsts atbalsta intervence, lai stimulētu digitālo procesu attīstību Latvijas uzņēmumos. Lai to nodrošinātu, rosināti grozījumi KPP, kas paredz lielāku uzsvaru uz iekšējo procesu digitalizāciju.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adresētu galvenos konkurētspējas izaicinājumus – nepietiekama kompetence par procesiem un tehnoloģiskajām iespējām, ko sniedz digitalizācija, stereotipi par digitalizācijas risinājumu lielajām izmaksām, sarežģīto ieviešanu, drošības samazināšanos un mazo informāciju par tehnoloģiskajām iespējām – konkurētspējas priekšrocības būtu balstāmas uz inovāciju, tehnoloģiskajiem faktoriem un uzlabojumiem ražošanas produktivitātē. Turklāt Latvijas ekonomikas attīstība un izaugsme lielā mērā ir saistīta ar iespējām iekļūt eksporta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koncentrējot atbalsta sniegšanu uz problemātiskajiem jautājumiem, 1.2.2.1. pasākuma  ietvaros plānots stiprināt un pilnveidot komersantu zināšanu pārneses sistēmu un konkurētspēju, t.sk. reģionālā līmenī, veicinot risinājumu ieviešanu sasaistē ar viedās specializācijas stratēģiju, paaugstināt komersantu izpratni par digitālo tehnoloģiju sniegtajām priekšrocībām, nodrošināt piekļūstamību digitālās transformācijas procesu atbalstam visā Latvijas Republikas teritorijā un veicināt procesu digitalizāciju komercdarbībā un produktivitātes paaugstināšanu komersantu darbības procesos (atbalsts grantu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1.2.2.1. pasākuma atbalsta shēma šobrīd spēkā esošajā KPP paredz turpināt digitālā brieduma novērtēšanu un digitālās transformācijas veicināšanu saskaņā ar EDIC sniegtajiem pakalpojumiem līdzvērtīgi Atveseļošanas un noturības mehānisma (turpmāk – Atveseļošanas fonds) ietvaros īstenotajā 2.2.1.1.i. investīcijā “Atbalsts Digitālo inovāciju centru un reģionālo kontaktpunktu izveidei”, bet ņemot vērā Atveseļošanas  fonda 2.2.1.2.i. investīcijas “Atbalsts procesu digitalizācijai komercdarbībā” komersantu lielo interesi par uzņēmējdarbības procesu digitalizāciju Atveseļošanās un noturības fonda atbalsta programmas ietvaros un atsevišķos gadījumos var nepietikt laika, lai sagatavotu un pilnībā īstenotu projekta iesniegumu atlikušajā periodā, kā arī to, ka liela daļa komersantu jau plāno novērtēt savu digitālo briedumu Atveseļošanas un noturības fonda atbalsta programmā, Ekonomikas ministrija rosinājusi grozījumus KPP, kas paredz lielāku uzsvaru uz iekšējo procesu digitalizāciju. Tādējādi tiks nodrošināta konsekvence ar pašreizējo investīciju vajadzību izvērtējumu un esošā SAM īstenošanas nosacījumu izstrādi, secinot, ka atbalsta piešķiršanas process šī brīža Atveseļošanas fonda atbalsta sniegšanas shēmā ir ilgs, un grozījumi KPP samazinātu birokrātisko slogu finansējuma saņēmēju pusē un atvieglotu valsts atbalsta sistēmas piešķiršanu, pārliecinoties, ka viena pasākuma ietvaros atbilstība programmas nosacījumiem netiek pārbaudīta vairākas reizes pret vienu komersantu. Saskaņā ar grozījumiem galvenās izmaiņas paredz, ka finansējuma saņēmējs būs LIAA, bet EDIC joprojām varēs sniegt savus pakalpojumus, bet ar LIAA starpniecību, ja LIAA saskatīs nepieciešamību, lai sniegtu nefinansiālu atbalstu gala labuma guvējiem digitālā brieduma veidā kā digitālā brieduma testu, digitālās attīstības ceļa karti un atzinumu. Tādā veidā plānots pilnveidot atbalsta piešķiršanas sistēmu, samazinot administratīvo slogu vairākām iestādēm, atkārtoti izvērtējot finansējuma saņēmēja atbilstību komercdarbības atbalstam, un paātrinot atbalsta piešķiršanas sistēmu. Vienlaikus jāņem vērā, ka Atveseļošanas fonda ietvaros līdz 2.2.1.1.i. investīcijas noslēgumam var veikt digitālā brieduma testu un digitālās attīstības ceļa kartes, kuras finansējuma saņēmējs var turpināt īstenot arī ERAF ietvaros. Gadījumā, ja Eiropas Komisija nesaskaņos ierosinātos grozījumus Eiropas Savienības kohēzijas politikas programmā 2021.–2027.gadam, Ekonomikas ministrija pārskatīs pasākuma nosacījumus un nepieciešamības gadījumā virzīs atbilstošus grozījumus Ministru kabineta noteikumos par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pasākuma īstenošana ir saskaņā ar Ministru kabineta 2024.gada 20.janvāra rīkojumu Nr.55 “Par Valdības rīcības plānu Deklarācijas par Evikas Siliņas vadītā Ministru kabineta iecerēto darbību īstenošanai” apstiprinātā Valdības rīcības plāna 22.2. uzdevumu, kas paredz radīt augstākas vērtības produktus un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pasākums veicinās arī NIP noteikto eksporta mērķu sasniegšanu, ņemot vērā, ka līdz ar pasākuma ieviešanu, tiks nodrošināts atbalsts komersantiem digitālo procesu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pasākuma ietvaros plānots, ka Latvijas Investīciju un attīstības aģentūra (turpmāk - LIAA) gala labuma guvējiem izsniegs grantu. Gala labuma guvējs pieteiksies granta saņemšanai, lai nodrošinātu procesu digitalizāciju komercdarbībā. Pēc gala labuma guvēja iesniegtās dokumentācijas un atbilstības 1.2.2.1. pasākuma nosacījumiem pārbaudes LIAA veiks gala labuma guvējam granta izmaksu. LIAA, lai nodrošinātu izmaksu demarkāciju ar citām programmām, kurās arī plānota LIAA administratīvo izmaksu segšana, darbinieku amata aprakstos tiks nodrošināta atbilstoša slodze, kas tiks noteikta pēc darba laika uzskaites, iekšējiem rīkojumiem un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pasākuma ietvaros plānots, ka kopumā ar grantiem tiks atbalstīti 1750 komersanti, kas nodrošina procesu digitalizāciju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pasākums sniegs ieguldījumu Eiropas Savienības Padomes rekomendācijas Latvijai 2023.gadam par digitālo pārveidi (1.rekomendācijas daļa) izpildē, jo nodrošinās Eiropas Savienības fondu efektīvu apgūšanu, jo īpaši, lai veicinātu digitālo pāreju un ieguldījumu Latvijas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Atbalsts un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pasākuma ietvaros plānotais kopējais attiecināmais finansējums ir 27 613 228 euro (tostarp elastības finansējums 4 355 304 euro), tai skaitā Eiropas Reģionālās attīstības fonda (turpmāk – ERAF) finansējums 23 471 243 euro (tostarp elastības finansējums 3 702 009 euro) un valsts budžeta līdzfinansējums 4 141 985 euro (tostarp elastības finansējums 653 295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pasākuma īstenošanai kopējo pasākumam pieejamo finansējumu plāno ne vairāk kā 23 257 924 euro apmērā, tai skaitā ERAF finansējumu – 19 769 234 euro apmērā un valsts budžeta līdzfinansējumu – 3 488 690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programmā noteiktas ERAF finansējuma sadalījums pa intervences kodiem atbilstoši Noteikumu projektā paredzētajām atbalstāmajām darbībām, ir šāds: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intervences kods (MVU digitalizācija (tostarp ekomercija, e-darījumi un uzņēmējdarbības procesi tīklā, digitālās inovācijas centri, "dzīvās laboratorijas", tīmekļa uzņēmēji un IKT jaunuzņēmumi, </w:t>
      </w:r>
      <w:r w:rsidR="00000000" w:rsidRPr="00000000" w:rsidDel="00000000">
        <w:rPr>
          <w:i w:val="1"/>
          <w:rtl w:val="0"/>
        </w:rPr>
        <w:t xml:space="preserve">business to business</w:t>
      </w:r>
      <w:r w:rsidR="00000000" w:rsidRPr="00000000" w:rsidDel="00000000">
        <w:rPr>
          <w:rtl w:val="0"/>
        </w:rPr>
        <w:t xml:space="preserve">))  -  12 035 622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intervences kods (Lielo uzņēmumu digitalizācija (tostarp e-komercija, edarījumi un uzņēmējdarbības procesi tīklā, digitālās inovācijas centri, "dzīvās laboratorijas", tīmekļa uzņēmēji un IKT jaunuzņēmumi, </w:t>
      </w:r>
      <w:r w:rsidR="00000000" w:rsidRPr="00000000" w:rsidDel="00000000">
        <w:rPr>
          <w:i w:val="1"/>
          <w:rtl w:val="0"/>
        </w:rPr>
        <w:t xml:space="preserve">business to business</w:t>
      </w:r>
      <w:r w:rsidR="00000000" w:rsidRPr="00000000" w:rsidDel="00000000">
        <w:rPr>
          <w:rtl w:val="0"/>
        </w:rPr>
        <w:t xml:space="preserve">)) – 11 435 621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kods ir Nr. 1 - grants – 23 471 243 euro (ERAF).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atlases veids finansējuma saņemšanai ir ierobežota projektu iesniegumu atlase, kurā projekta iesniedzējs, kas pēc vienošanās noslēgšanas par projekta īstenošanu ar sadarbības iestādi kļūs par finansējuma saņēmēju, ir LIAA.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sagatavos projekta iesniegumu atbilstoši projektu iesniegumu atlases nolikumam un iesniegs to sadarbības iestādē, izmantojot Kohēzijas politikas fondu vadības informācijas sistēmu, projekta iesniegumam pievienojot projekta īstenošanas stratēģiju, kurā norādīta detalizēta informācija par projekta īstenošanas plānu, mērķiem, uzņēmējdarbības digitalizācijas problēmām Latvijā un to risinājumiem, finansējuma saņēmēja darba uzdevumiem un funkcijām, kā arī sasniedzamajiem rādītājiem. Projekta īstenošanas stratēģijā iekļauj arī gala labuma guvēju atlases procedūru. Projekta iesniedzējs minēto stratēģiju saskaņo ar Atbildīgo iestādi un, kad saņemts saskaņojums, pievieno stratēģiju projekta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veic izmaksu un ieguvumu analīzi atbilstoši sadarbības iestādes metodiskajiem materiāliem un pievieno kā stratēģijas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Gala labuma 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pasākuma gala labuma guvēji un mērķa grupa ir sīkie (mikro), mazie, vidējie komersanti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pasākuma ietvaros līdz 2029. gada 31. decembrim sasniedzami šādi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grantiem atbalstītie komersanti - 1750;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nefinansiālu atbalstu saņēmušie komersanti - 300;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atbalstu papildinošās privātās investīcijas (tai skaitā: granti, finanšu instrumenti) - 3 367 541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Noteiktos rādītājus paredzēts sasniegt, balstoties uz 1.2.2.1. pasākuma plānoto kopējo attiecināmo finansējumu. Gadījumā, ja elastības finansējums vai tā daļa pēc vidusposma pārskata netiks piešķirta, tad par attiecīgo finansējuma apmēru tiks samazināts paredzētais plānotais finansējums, kā arī tiks attiecīgi samazināti noteiktie rezultāta un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sasniedzamos iznākuma rādītājus, ņemta vērā ekonomiskā situācija valstī, kas var ietekmēt uzņēmuma spēju izdzīvot un turpināt saimniecisko darbību, var pastāvēt salīdzinoši zems uzņēmumu motivācijas līmenis ieguldīt digitalizācijā vai var pastāvēt zema uzņēmumu izpratne par tam piemērotāko atbalsta pakalpojumu uzņēmuma attīstībai, izaugsmei, un citi riski, kas attiecīgi var radīt zināmu risku mērķa rādītāju sasniegšanā. Rādītājos tiek skaitīti unikāli komersanti, kas pirmo reizi ir saņēmuši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noteikts, ka Finansējuma saņēmējam vienu reizi gadā kopā ar maksājuma pieprasījumu vadības informācijas sistēmā par katru gala labuma guvēju vai pēc atbildīgās iestādes pieprasījuma 10 darbdienu laikā iesniedz atbildīgajai iestādei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saņēmušo gala labuma guvēju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saņēmušo gala labuma guvēju samaksāto nodokļu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atbalstīto gala labuma guvēju skaits katrā no RIS3 jomām sadalījumā pa gala labuma guvēju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pēc projekta īstenošanas Ekonomikas ministrija apkopo informāciju par šādiem gala labuma guvēja RIS3 rādītājiem katrā no RIS3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neto apgrozījums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eksports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Finansējuma saņēmēja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pasākuma ietvaros Finansējuma saņēmējam atbalstāmas šādas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nodrošināšana, tai skaitā iepirkumu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komunikācijas un vizuālās identitātes pasākumu nodrošināšana, ievērojot nediskriminācijas principus (komunikācijas un vizuālās identitātes pasākumu nodrošināšana ir saskaņā ar saistošo normatīvo aktu un citu dokumentu noteiktajām prasībām). Darbības ietver ne tikai obligāto publicitātes prasību ievērošanu, bet arī atbalsta programmu popularizēšanu tās mērķa grupām un citām ieinteresētajām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uzņēmumu datubāzu iegāde, datu monitorings un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IT sistēmu, programmu un rīku izstrādes pakalpojumi, datu un informācijas uzkrāšana.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EDIC atlasi Eiropas Savienības dalībvalstīm izsludināja 2021. gada 17. novembrī un projektu pieteikumu iesniegšanas termiņš bija 2022. gada 22. februāris. Eiropas Komisijas atlasē programmas "Digitālā Eiropa'' ietvaros 2022. gada 1. jūnijā ir saņemts apstiprinājums no Eiropas Komisijas, ka abi Latvijas izvirzītie EDIC ir tiesīgi īstenot atbalstāmās darbības programmas "Digitālā Eiropa'' ietvaros. Lai nodrošinātu iespēju EDIC turpināt pakalpojuma sniegšanu arī pēc nākamās Eiropas komisijas programmas “Digitālā Eiropa” EDIC projektu atlases. Tādējādi Finansējuma saņēmējs uzņēmuma digitālā brieduma novērtēšanai piesaista EDIC, noslēdzot sadarbības līgumu, vai nodrošinot starptautisku atzītu ekspertu piesaisti, veicot iepirkuma procedūru, ja līdz 2025. gada septembrim EDIC nav saņemts Eiropas Komisijas lēmums par darbības pagarināšanu vai jauna sadarbības līguma noslēgšanu programmas “Digitālā Eiropa”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atbalstāmās darbības tā funkciju īstenošanai nepārklāsies ar atbalstāmajām darbībām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Gala labuma guvēja atbalstāmās darbības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pasākuma ietvaros gala labuma guvējs var veikt ieguldījumus šādu komercdarbības procesu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administratīvie procesi – finanses un grāmatvedība, administrācija, dokumentu vadība, projektu vadība, kopdarbība, sistēmu savietojamība;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personāla vadības procesi – cilvēku resursu vadība, darba laika uzskaite, darba deleģēšana, personāla iesaiste, novērtēšana un motivācija;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pārdošanas procesi – klientu piesaiste un darījumu vadības automatizācija, pārdošana un darījumu atsekošana, e-komercija, digitālais mārketings, digitālie risinājumi mazumtirdzniecībai, klientu attiecību pārvaldība (Customer relationship management – CRM);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resursu pārvaldības procesi – resursu vadība (Enterprise resource planning – ERP, noliktavu pārvaldības sistēmas), energoresursu pārvaldība, efektīvāka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procesi – datu drošība, datu glabāšana, komunikācijas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transports un loģistikas procesi – lietu internets, viedie mobilitātes risinājumi, uztveres sistēmas, satiksmes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ražošanas un kvalitātes kontroles procesi –  ražošanas un biznesa procesu vadības un automatizācijas, kvalitātes kontroles sistēmas, datu sinhronizācija, datu analītika;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operatīvās vadības procesi – biznesa vadība, biznesa analītika, lielo datu analītika, - risinājumi vadības lēmumu pieņemšanai, datu automatizācija, sinhronizācija;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stratēģiskā vadība – digitalizācijas (procesu un produktu) un inovāciju attīstības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citu ar informācijas un komunikācijas tehnoloģiju produktiem, tehnoloģijām, drošību vai procesiem saistītu uzlabojumu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digitālu risinājumu izstrāde - digitālu procesu prototipēšana.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pasākuma ietvaros gala labuma guvējam ir attiecināmas šādas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gatavo risinājumu, aparatūras, sensoru, iekārtu, programmatūras un informācijas tehnoloģiju infrastruktūras iegādes, uzstādīšanas un pielāgošanas izmaksas un ar tām saistīto konsultāciju izmaksas un ar tām saistīto konsultāciju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 brieduma novērtējuma aktivitāšu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sākotnējā un otrreizējā digitālā brieduma testa veikšanas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digitālās ceļa kartes un atzinuma izstrādes izmaksas - eksperta padziļināti vadīts un izveidots novērtējums digitālā brieduma testa ietvaros par gala labuma guvējam nepieciešamajām investīcijām digitālās transformācijas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attīstības ceļa karte– eksperta padziļināti vadīts un izveidots novērtējums digitālā brieduma testa ietvaros par gala labuma guvējam nepieciešamajām investīcijām digitālās transformācijas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 eksperta novērtējums par gala labuma guvēja digitālo un inovāciju briedumu un par veikto investīciju atbilstību digitālās attīstības ceļa kartei.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digitālā brieduma testa izmaksas - novērtējums par gala labuma guvēja esošo digitālo un inovāciju briedumu, ko gala labuma guvējs veic patstāvīgi vai sadarbībā ar ekspertiem, lai noteiktu gala labuma guvēja digitalizācijas vajadzības un spēju izmantot digitālās tehnoloģijas, kas tiek definētas digitālās attīstības ceļa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Otrreizējais digitālā brieduma tests - novērtējums par gala labuma guvēja esošo digitālo un inovāciju briedumu, ko pēc atbalsta saņemšanas gala labuma guvējs veic patstāvīgi vai sadarbībā ar ekspertu. Otrreizējā digitālā brieduma testa rezultāts nebūs priekšnoteikums granta saņemšanai 1.2.2.1. pasākumā. Vienlaikus šo testu var veikt arī, lai 2.2.1.2.i investīcijas ietvaros saņemtu grantu atbalstu. Tāpat uzņēmums 1.2.2.1. pasākumā var veikt tikai testus – sākotnējo un otrreizējo, nepretendējot uz granta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digitālās inovācijas centrs – Latvijas nacionālās atlases procedūrā izraudzīta kandidātiestāde, kas ir iesniegusi pieteikumu Eiropas Komisijas uzsaukumam par EDIC izveidi saskaņā ar Eiropas Parlamenta un Padomes 2021. gada 29. aprīļa Regulu ES Nr. 2021/694, ar ko izveido programmu "Digitālā Eiropa" un atceļ Lēmumu 2015/2240 (turpmāk – regula Nr. 2021/694), un tiesību subjekts, kas atlasīts saskaņā ar regulas Nr. 2021/694 16.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atbalsta summa gala labuma guvējam vienam grantam, ievērojot zemāk minētās intensitātes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gatavo risinājumu, aparatūras, sensoru, iekārtu, programmatūras un informācijas tehnoloģiju infrastruktūras iegādes, uzstādīšanas un pielāgošanas izmaksas un ar tām saistīto konsultāciju izmaksas un ar tām saistīto konsultāciju izmaksas – 10 000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 brieduma novērtējuma aktivitāšu izmaksām – 1 000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atbalsta intensitāte no projekta kopējām izmaksām nevar pārsniegt: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sīkajiem (mikro), mazajiem komersantiem –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vidējiem komersantiem – 40 %;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mazajām vidējas kapitalizācijas un vidējas kapitalizācijas sabiedrībām – 30 %.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pasākumā plānots līdz 2029. gadam sniegt 1750 gala labuma guvējiem (vidēji 546 gala labuma guvējiem katru gadu) grantu iekšējo komercdarbības procesu digitalizācijai. No šiem 1750 uzņēmumiem tiek paredzēts, ka tiks atbalstīti aptuveni 1000 MVU un aptuveni 750 mazās vidējas un vidējās kapitalizācijas sabiedrības. Līdz ar to tiek paredzēts, ka vienam gala labuma guvējam tiek sniegts atbalsts līdz 10 000 euro viena granta ietvaros, lai projekta īstenošanas rezultātā gala labuma guvējs var sasniegt augstu digitālo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Komercdarbības atbalsta saņemšanas nosacījumi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projekta īstenošanu plāno saskaņā ar vienošanos par projekta īstenošanu, kas noslēgta starp finansējuma saņēmēju un sadarbības iestādi,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nesaņem komercdarbības atbalstu un darbojas kā starpnieks, piešķirot atbalstu gala labu guvējam grantu veidā. Finansējuma saņēmējs darbojas kā starpnieks, kas nav saimnieciskās darbības veicējs, un īsteno tam noteikto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minētās izmaksas finansējuma saņēmējam ir attiecināmas sākot no projekta iesniegšanas. Šāds nosacījums iekļauts, lai finansējuma saņēmējs pēc projekta iesniegšanas varētu sākt gatavot iekšējās procedūras un pielāgot www.business.gov.lv, veidojot pieteikumu formu. Ekonomikas ministrija, ņemot vērā iepriekšējo pieredzi ar slēgtajām atlases kārtām, kur finansējuma saņēmējs ir LIAA, kas ir valsts iestāde, nesaskata risku izmaksām, kas nav attiecināmas no ES fondu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guvējam saskaņā ar publiski pieejamo informāciju Valsts ieņēmumu dienesta (turpmāk - VID) administrēto nodokļu (nodevu) parādnieku datubāzē  nav nodokļu vai nodevu parādu, tai skaitā valsts sociālās apdrošināšanas obligāto iemaksu parādu, kas kopsummā pārsniedz 150 euro, 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b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pirms katras atbalsta piešķiršanas divas darba dienas pēc gala labuma guvēja pieteikuma vai tā precizējuma, ja attiecināms, iesniegšanas pārbauda, vai gala labuma guvējam saskaņā ar VID administrēto nodokļu nodevu parādnieku datu bāzē pieejamo informāciju gala labuma guvēja pieteikuma vai tā precizējuma, ja attiecas, iesniegšanas dienā nav nodokļu vai nodevu parādu, tai skaitā valsts sociālās apdrošināšanas obligāto iemaksu parādu (ievada gala labuma guvēja reģistrācijas numuru un nosaukumu Finansējuma saņēmējam pieejamajā VID datu bāzē un pārliecinās par gala labuma guvēja nodokļu parādu esamību). Finansējuma saņēmējs nepiešķir atbalstu gala labuma guvējam, ja tiek konstatētas nodokļu parādsaistības virs noteiktā limita. Augstāk minētā kārtība, kādā Finansējuma saņēmējs pārbauda gala labuma guvēju nodokļu parādus, tiks noteikta Finansējuma saņēmēja iekšējās kārtības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ievērojot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5. panta 1. un 3. punktu,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2023/2831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w:t>
      </w:r>
      <w:r w:rsidR="00000000" w:rsidRPr="00000000" w:rsidDel="00000000">
        <w:rPr>
          <w:i w:val="1"/>
          <w:rtl w:val="0"/>
        </w:rPr>
        <w:t xml:space="preserve">de minimis </w:t>
      </w:r>
      <w:r w:rsidR="00000000" w:rsidRPr="00000000" w:rsidDel="00000000">
        <w:rPr>
          <w:rtl w:val="0"/>
        </w:rPr>
        <w:t xml:space="preserve">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1.2.2.1. pasākuma ietvaros definētajām atbalstāmajām darbībām, pasākuma ietvaros jānodrošina demarkācija ar Atveseļošanas un noturības mehānisma plāna digitālās transformācijas investīcijām – 2.2.1.1.i. investīcija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un 2.2.1.2.i. investīciju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gala labuma guvējs vienlaikus darbojas gan kādā no nozarēm, kas minētas Komisijas regulas Nr. 2023/2831 1. panta 1. punkta a), b), c) vai d) apakšpunktā vai, gan vienā vai vairākās citās nozarēs, uz kurām attiecas šīs regulas darbības joma, kā arī šo noteikumu 44. punktā minētajās nozarēs, tas nodrošina šo nozaru darbību vai izmaksu nodalīšanu saskaņā ar Komisijas regulas Nr. 2023/2831 1. panta 2. punktu, nodrošinot,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 2023/2831.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komercdarbības atbalsta kontroles normas, kas izriet no Komisijas regulas Nr. 2023/2831, gala labuma guvējam ir pienākums atmaksāt atbalsta sniedzējam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guvējs katru nākamo atbalsta pieteikumu var iesniegt, ja ir īstenots iepriekšējais apstiprinātais atbalsta pieteikums, pieņemts lēmums par iepriekšējā atbalsta pieteikuma noraidīšanu vai sniegts Finansējuma saņēmēja atzinums par to, ka lēmumā par atbalsta pieteikuma apstiprināšanu ar nosacījumu ietvertie nosacījumi nav izpildīti.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lai nodrošinātu izmaksu demarkācija ar citām programmām, kurās arī plānota Finansējuma saņēmēja administratīvo izmaksu segšana, darbiniekiem nodarbinātā amata apraksts un slodzes tiek noteiktas pēc darba laika uzskaites, iekšējiem rīkojumiem un normatīviem.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pasākuma demarkāciju, piemēram, ar 2.2.1.2.i. investīcijas "Atbalsts procesu digitalizācijai komercdarbībā" un citiem publiskā finansējuma avotiem tiks veiktas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gala labuma guvēju atlases nosacījumos tiks iekļauta prasība atbalsta pretendentam iesniegt apliecinājumu, ka tas nesaņem un neplāno saņemt atbalstu par tām pašām darbībām citu ES fondu aktivitāšu vai citu finanšu instrumentu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pretendējot uz finanšu atbalstu, gala labuma guvējs iesniegs apliecinājumu, ka atbalsta pretendents pasākuma ietvaros neparedz saņemt un nesaņems finansējumu par tām pašām attiecināmajām izmaksām, kas vienlaikus tikušas, tiek finansētas vai kuras plānots finansēt no citiem ES, finanšu instrumentu, valsts vai pašvaldības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gala labuma guvējiem būs pienākums norādīt </w:t>
      </w:r>
      <w:r w:rsidR="00000000" w:rsidRPr="00000000" w:rsidDel="00000000">
        <w:rPr>
          <w:i w:val="1"/>
          <w:rtl w:val="0"/>
        </w:rPr>
        <w:t xml:space="preserve">de minimis</w:t>
      </w:r>
      <w:r w:rsidR="00000000" w:rsidRPr="00000000" w:rsidDel="00000000">
        <w:rPr>
          <w:rtl w:val="0"/>
        </w:rPr>
        <w:t xml:space="preserve"> atbalsta uzskaites sistēmā sagatavotās veidlapas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 gada 11. decembra noteikumu Nr. 857 “Latvijas Investīcijas un attīstības aģentūras nolikums” 11. punktu gala labuma guvējs pieņemto lēmumu par neatbilstību finansējuma saņemšanas nosacījumiem var apstrīdēt Ekonomikas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pieņemto lēmumu gala labuma guvējs var pārsūdzēt Administratīvajā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Finansējuma saņēmēja pienākumi, kas saistīti ar komercdarbības atbalsta administrēšanu un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izstrādā kārtību par gala labuma guvēju atlasi, atbalsta piešķiršanu un tā uzskaiti. Finansējuma saņēmējs lēmumu par atbalsta piešķiršanu pieņem saskaņā ar minēto kārtību. Īstenojot projektu, ir aktivitātes, kas attiecināmas uz neidentificējamu klientu loku un līdz ar to šādas aktivitātes nav atzīstamas par komercdarbības atbalstu. Minētā kārtība (procedūra) ir jāsaskaņo ar atbildīgo iestādi un jāiesniedz projekta īstenošanas stratēģijas ietvaros pie projekta iesnieguma.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līdz ar projekta iesnieguma iesniegšanu iesniedz tā izstrādātu procedūru, kādā tas nodrošinās komercdarbības atbalsta sniegšanu gala labuma guvējiem.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jānodrošina komunikācijas un vizuālās identitātes pasākumus saskaņā ar regulas Nr. 2021/1060 47. un 50. pantu un normatīvo aktu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gala labuma guvējam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pieņem lēmumu par </w:t>
      </w:r>
      <w:r w:rsidR="00000000" w:rsidRPr="00000000" w:rsidDel="00000000">
        <w:rPr>
          <w:i w:val="1"/>
          <w:rtl w:val="0"/>
        </w:rPr>
        <w:t xml:space="preserve">de minimis</w:t>
      </w:r>
      <w:r w:rsidR="00000000" w:rsidRPr="00000000" w:rsidDel="00000000">
        <w:rPr>
          <w:rtl w:val="0"/>
        </w:rPr>
        <w:t xml:space="preserve"> atbalsta piešķiršanu saskaņā ar Komisijas regulas Nr. 2023/2831 7. panta 3. punktu un 8.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pasākuma ietvaros nodrošinātu demarkācijas principa ievērošanu un, lai gala labuma guvējs par vienām un tām pašām izmaksām nesaņem atbalstu vienlaicīgi no, piemēram, 2.2.1.2.i. investīcijas "Atbalsts procesu digitalizācijai komercdarbībā", tiks nodrošināta informācijas apmaiņa par piešķirto atbalstu. Visos gala labuma guvēja pieteikumos tiks iestrādāta sadaļa par kumulatīvo atbalstu, kurā gala labuma guvējs norādīs projektus, kuros saņemtais vai plānotais valsts vai cita veida atbalsts tiks kumulēts ar konkrētā pieteikuma pieprasīto finansējumu. Tāpat arī vienotajā </w:t>
      </w:r>
      <w:r w:rsidR="00000000" w:rsidRPr="00000000" w:rsidDel="00000000">
        <w:rPr>
          <w:i w:val="1"/>
          <w:rtl w:val="0"/>
        </w:rPr>
        <w:t xml:space="preserve">de minimis</w:t>
      </w:r>
      <w:r w:rsidR="00000000" w:rsidRPr="00000000" w:rsidDel="00000000">
        <w:rPr>
          <w:rtl w:val="0"/>
        </w:rPr>
        <w:t xml:space="preserve"> atbalsta uzskaites sistēmā, vērtējot atbalsta piešķiršanu, Finansējuma saņēmējs pārliecinās, vai konkrētajām darbībām par vienām un tām pašām izmaksām atbalsts jau nav saņemts.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guvēju pieteikumu izvērtēšanas procesā iesaistītie finansējuma saņēmēja darbinieki paraksta objektivitātes, konfidencialitātes un interešu konflikta neesamības apliecinājumu (1. pielikums), ka interešu konflikta situācijā nepiedalīsies gala labuma guvēju pieteikumu izvērtēšanā. Apliecinājumu paraksta pirms gala labuma guvēju pieteikumu izskatīšanas un vērtēšanas. Finansējuma saņēmējs apliecinājumu glabā atbilstoši 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132. pantam un šo noteikumu 61.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izvērtē gala labuma guvējus atbilstoši Fondu vadības likuma 22. pantā noteiktajiem projekta iesniedzēju izslēgšanas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izslēgšanas nosacījumu kontrole tiek veikta, tostarp pārbaudot attiecīgās personas sodāmību Iekšlietu ministrijas Informācijas centra pārziņā esošajā valsts informācijas sistēmā “Sodu reģistrs”  (turpmāk - Sodu reģistrs) (saņemot informāciju izziņas veidā) saskaņā ar zemāk norādītajām normām. Pēc informācijas sistēmas saņemšanas no Sodu reģistra, Finansējuma saņēmējs informāciju par Fondu vadības likuma 22. panta pirmās daļas 2. punktā noteiktajiem izslēgšanas nosacījumiem pārbauda VID un Valsts darba inspekcijā.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“Lēmumi”.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6"/>
        <w:gridCol w:w="3073"/>
        <w:gridCol w:w="2900"/>
        <w:tblGridChange w:id="0">
          <w:tblGrid>
            <w:gridCol w:w="3216"/>
            <w:gridCol w:w="3073"/>
            <w:gridCol w:w="29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Personas dalības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Tiesību akts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Tiesību akta norma</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Pārbaudāmā persona, pārbaudāmās personas valdes vai padomes loceklis, prokūrists vai persona, kura ir pilnvarota pārstāvēt pārbaudāmo personu darbībās, kas saistītas ar filiāli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79.1 pants. Terorisms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79.2 pants. Terorisma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79.3  pants. Teroristu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79.4 pants. Personas vervēšana, apmācīšana un apmācīšanās terorismam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79.5 pants. Ceļošana terorisma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79.6 pants. Terorisma attaisnošana, aicinājums uz terorismu un terorisma draudi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89.1 pants. Noziedzīga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154.1 pants.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 pants. Krāpšana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179. pants. Piesavināšanās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184.pants trešā daļa. Izspiešana organizētā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 pants.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 pants. Neatļauta labumu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 pants. Komerciālā uzpirkšana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 pants. Izvairīšanās no nodokļu un tiem pielīdzināto maksājumu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pants. Kukuļņemšana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321. pants. Kukuļa piesavināšanās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322. pants Starpniecība kukuļošanā (ja kriminālprocess ierosināts līdz Krimināllikuma grozījumu stāšanās spēkā, t.i. 2022. gada 4.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323. pants. Kukuļdošana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326.1 pants.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326.2 pants. Prettiesiska labumu pieprasīšana un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326.3 pants. Prettiesiska labumu 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nodokļiem un nodevām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142.panta otrā daļa. Informatīvo deklarāciju iesniegšanas termiņu neievērošanu</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Pārbaudāmā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Konkurences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pirmā daļa (tostarp jebkurš no minētās daļas punktiem), ja par vertikālo vienošanos, kuras mērķis ir ierobežot pircēja iespēju noteikt tālākpārdošanas cenu, vai horizontālā karteļa vienošanos kā izslēgšanas pamatu no iepirkuma procedūras Sodu reģistrā ir norādījusi Konkurences padome</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Imigrācijas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r w:rsidR="00000000" w:rsidRPr="00000000" w:rsidDel="00000000">
              <w:rPr>
                <w:sz w:val="24"/>
                <w:vertAlign w:val="superscript"/>
                <w:rtl w:val="0"/>
              </w:rPr>
              <w:t xml:space="preserve">4</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Par vienas vai vairāku personu (līdz piecām personām)  nodarbināšanu, ja attiecīgā persona ir tiesīga uzturēties Latvijas Republikā, bet tai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Par vairāk nekā piecu personu nodarbināšanu, ja tās ir tiesīgas uzturēties Latvijas Republikā, bet tām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Par vienas vai vairāku tādu personu (līdz piecām personām) nodarbināšanu, kuras nav tiesīgas uzturēties Latvijas Republikā.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pants. Darba līguma nenoslēgšana rakstveida formā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novērsta vai mazināta pasākuma ietvaros atbalstāmo darbību ietekme uz vidi, ir sagatavots principa “Nenodarīt būtisku kaitējumu” novērtējuma apraksts, kur norādīts, ka pasākuma ietvaros plānotās atbalstāmās darbības neradīs tiešu ietekmi uz klimata pārmaiņām, nerada kaitējumu ūdens resursu ekoloģiskajam potenciālam, kā arī pasākuma īstenošana nerada piesārņojumu un nerada kaitējumu vides ekosistēmai. Ja atbalsts ir saistīts ar jaunu produktu izveidi, ražošanu, tehnoloģiju ieviešanu, vai citu darbību, kas varētu netieši ietekmēt kādu no vides mērķiem, tad atbalstu nevar sniegt Eiropas Parlamenta un Padomes 2021. gada 24. jūnija Regulas (ES) Nr. 2021/1058 par Eiropas Reģionālās attīstības fondu un Kohēzijas fondu 7. panta 1. punktā noteiktajās nozarēs un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iestādei ir tiesības vienpusēji atkāpties no noslēgtā līguma par atbalsta sniegšanu jebkurā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nepilda vienošanos par atbalsta saņemšanu, tai skaitā netiek ievēroti noteiktie termiņi, vai ir iestājušies citi apstākļi, kas negatīvi ietekmē vai var ietekmēt specifiskā atbalsta mērķa, tā iznākuma vai rezultāta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finansējums saņēmējs apzināti ir sniedzis sadarbības iestādei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citos gadījumos, ko paredz vienošanās par atbalsta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tiesības bez maksas pieprasīt un saņemt tiešu pieeju datiem valsts informācijas sistēmās, datubāzēs un reģistros tādā apjomā, kāds nepieciešams atbalsta programmas īstenošanai un atbalsta sniegšanai gala labuma guvējiem atbilstoši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kopā ar projekta iesniegumu apliecināt, ka projekta iesnieguma iesniegšanas brīdī Finansējuma saņēmējs ir informēts par Regulas Nr. 2018/1046, Eiropas Parlamenta un Padomes 2014. gada 26. februāra direktīvas Nr. 2014/24/ES par publisko iepirkumu un ar ko atceļ Direktīvu 2004/18/EK, likuma “Par interešu konflikta novēršanu valsts amatpersonu darbībā” un Eiropas Komisijas 2021. gada 9.aprīļa paziņojuma Nr. C/2021/2119 "Norādījumu par izvairīšanos no interešu konfliktiem un to pārvaldību saskaņā ar Finanšu regulu" un apņemas tās ievērot. Šāds nosacījuma nepieciešamība izriet no Revīzijas iestādes audita Nr. SA/ESIF/2020/10 ziņojumā ietvertā ieteikuma.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kā atbildīgā iestāde izstrādās un saskaņos ar vadošo iestādi līdz projekta iesniegšanai Sadarbības iestādē vienkāršoto izmaksu metodiku, kas saistīta ar finanšu atbalsta sniegšanu gala labuma guvējiem procesu digitalizācijas komercdarbībā izmaksām.  (Noteikumu projekta 28.punktā norādītajām darbībām un 29.1. apakšpunktā minētajām izmaksām). Attiecīgi vienkāršoto izmaksu metodika nosegs visas gala labuma guvēja izmaksas, kas saistītas ar finanšu atbalsta sniegšanu gala labuma guvējiem procesu digitalizācijas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tiek nodrošināts gala saņēmēju līmenī, 1.2.2.1. pasākumā neizpildās obligāta Regulas Nr. 2021/1060 53.panta 2. punkta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Nr.2021/1060 55. panta 1. punktu tiek noteikts, ka Finansējuma saņēmēja tiešās personāla izmaksām (mēnešalga, atvaļinājuma pabalsts, naudas balvas, novērtēšana, veselības apdrošināšanas polises prēmija, valsts sociālās apdrošināšanas iemaksas (VSAOI) tiek piemērota vienotā likme 20% no tiešajām attiecināmajām izmaksām, neieskaitot personāla izmaksas (Noteikumu projekta 22.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aprēķini ir dokumentāli pierādāmi un pārbaudāmi, tie ir balstīti Valsts un pašvaldību institūciju amatpersonu un darbinieku atlīdzības likuma (turpmāk - Atlīdzības likums) 4.</w:t>
      </w:r>
      <w:r w:rsidR="00000000" w:rsidRPr="00000000" w:rsidDel="00000000">
        <w:rPr>
          <w:vertAlign w:val="superscript"/>
          <w:rtl w:val="0"/>
        </w:rPr>
        <w:t xml:space="preserve">2</w:t>
      </w:r>
      <w:r w:rsidR="00000000" w:rsidRPr="00000000" w:rsidDel="00000000">
        <w:rPr>
          <w:rtl w:val="0"/>
        </w:rPr>
        <w:t xml:space="preserve"> pantu un 3. pielikumu un Ministru kabineta 2022. gada 21. jūnija noteikumu Nr. 361 “Noteikumi par valsts institūciju amatpersonu un darbinieku darba samaksu un tās noteikšanas kārtību, kā arī par profesijām un specifiskajām jomām, kurām piemērojams tirgus koeficients” 6.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Atalgojuma izmaksas nav noteiktas pārmērīgi augstas vai zemas, un tiek piemērotas vienādi projekta ietvaros atbilstoši amata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Noteikumu projekta izstrādes laikā ir informējusi LIAA par personāla izmaksu likmes piemērošanas nosacījumiem, kā arī likmes apmērs ir noteikts šo noteikumu 22. punktā. Attiecīgi vienotās likmes aprēķins finansējuma saņēmēja personāla izmaksām ir taisnīgs, objektīvs, pārbaudāms un iepriekš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piemērota vienotā likme līdz 20% saskaņā ar Regulas Nr.2021/1060 55. panta 1. punktu, ir papildus uzskatāms, ka šādi tiek ievēroti taisnīguma, objektivitātes, pārbaudāmības un iepriekšējās noteiktības pamatprincipi, jo attiecīgie likmes piemērošanas nosacījumi ir iepriekš horizontāli un ar augstāku normatīvo aktu noteikti un zināmi. Tāpat finansējuma saņēmējs būs valsts tiešās pārvaldes iestāde, kurai ir saistoši tādi normatīvie akti, kā Atlīdzības likums un Ministru kabineta 2022. gada 26.aprīļa noteikumi Nr.262 “Valsts un pašvaldību institūciju amatu katalogs, amatu klasifikācijas un amatu apraksta izstrādāšanas kārtība”, kas papildus apliecina, ka tiks ievēroti augstāk minētie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pasākuma īstenošanai plānots, ka LIAA nodrošinās 22 amata vietas (7 esošās un 15 jaunas). LIAA iestādes ietvaros nodrošinās izmaksu nepārklāšanos. Projekta ietvaros atalgojuma izmaksas paredzētas tādām amata vietām kā departamenta direktors, nodaļas vadītājs, Programmu vadītājs, vecākais projektu vadītājs, projekta koordinators, vecākais eksperts, vecākais jurists, informācijas sistēmu projekta vadītājs, projekta finansists. Paredzētās mēnešalgu grupas ir no 9 līdz 13, savukārt amatu saimes ir 15.1.saime, 21.4.apakšsaime, 24. un 36. saime un 39.1. apakšsaime. Noteiktais mēnešalgas intervāla viduspunkts ir paredzēts no 1857 – 4326 euro. Saskaņā ar atlīdzības likuma reformu – LIAA izstrādā plānu mēnešalgu pakāpeniskai palielināšanai, iekļaujoties atlīdzības skalas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anotācijā ir aprakstīts kā LIAA nodalīs iestādes funkcijas no citiem iepirktiem pakalpojumiem projekta ietvaros. Personāla izmaksas nepārklāsies ar citiem projektiem. LIAA pienākums būs nodalīt personāla izmaksu funkcijas, ņemot vērā, ka LIAA atbildībā ir 2.2.1.2.i. investīcija “Atbalsts procesu digitalizācijai komercdarbībā”, kas tiek īstenota līdz 2026. gada aprīlim. Plānots, ka Noteikumu projektu LIAA sāks īstenot ne ātrāk kā 2025. gadā (nepieciešams laiks iekšējo kārtību izstrādei, CFLA atlases norisei).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iepirkumu izmaksas neietver publiskus piegādes vai pakalpojumu līgumus, kuru vērtība pārsniedz Ministru kabineta 2017.gada 28.februāra noteikumos Nr.105 "Noteikumi par publisko iepirkumu līgumcenu robežvērtībām" noteiktās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pasākuma īstenošanai piemērojamās vadošās un atbildīgās iestādes sagatavotās 2021.-2027.gada plānošanas perioda vienkāršoto izmaksu metodikas, kuras attiecināmas programmas ietvaros, piemēro no to spēkā stāšanās brīža.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Finansējuma saņēmējs izstrādās kārtību (metodiku), kādā tiek veikta gala labuma guvēju atlase, atbalsta piešķiršana un kā tiek veikta piešķirtā atbalsta uzskaite.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 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paredzētais atbalsts veicinās komersantu konkurētspēju, kā arī digitālu un inovatīvu publisko pārvaldi, kurā tiek izmantotas tikpat modernas tehnoloģijas kā privātajā sektorā, veicinās risinājumu ieviešanu sasaistē ar RIS3, paaugstinās izpratni par digitālo tehnoloģiju sniegtajām priekšrocībām un nodrošinās atbalsta pieejamību digitālās transformācijas procesiem visā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pildīs atbildīgas iestādes funkcijas, savukārt LIAA pildīs finansējuma saņēmēja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pozitīvi ietekmēs komersantu konkurētspēju, īpaši, ja attīsta komercdarbību kādā no RIS3 specializācijas jomām.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vienlīdzīga pieeja, plānots ka līdz ar atbalsta programmā paredzēto atbalstu tiks veicināta uzņēmējdarbības aktivitāte, kā arī sekmēta digitalizācijas attīstība. Plānots, ka ar grantiem tiks atbalstīti 1750 komersanti.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pasākuma ietvaros atbalstāmās darbības ļaus MVU veikt digitālās attīstības statusa pašnovērtējumu (digitālā brieduma testu), izstrādāt digitālās attīstības ceļa karti, nodrošinās nepieciešamās infrastruktūras investīciju vajadzību identificēšanu, risinājumu testēšanu pirms ieguldījumu veikšanas un izpratni par digitālās transformācijas ieguvumiem. Plānots, ka ar grantiem tiks atbalstīti 1750 komersanti.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37 381,50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mikrouzņēmumi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gala labuma guvēji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12 354,00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Minēto dokumentu sagatavošanai MVU aptuveni var būt nepieciešamas aptuveni 2 stundas. Ņemot vērā valstī vidējo atalgojumu pēc Centrālās statistikas datiem - vidējā darba stundas samaksa 2024. gada 1.ceturksnī ir 10,65 EUR, kas nozīmē, ka mikrouzņēmuma darbiniekam dokumentu sagatavošanai monetārās izmaksas nav lielākas kā 21,30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mazie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gala labuma guvēji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12 673,50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Minēto dokumentu sagatavošanai MVU aptuveni var būt nepieciešamas aptuveni 2 stundas . Ņemot vērā valstī vidējo atalgojumu pēc Centrālās statistikas datiem - vidējā darba stundas samaksa 2024. gada 1.ceturksnī ir 10,65 EUR, kas nozīmē, ka mazo uzņēmumu darbiniekam dokumentu sagatavošanai monetārās izmaksas nav lielākas kā 21,30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gala labuma guvēji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12 354,00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Minēto dokumentu sagatavošanai MVU aptuveni var būt nepieciešamas aptuveni 2 stundas . Ņemot vērā valstī vidējo atalgojumu pēc Centrālās statistikas datiem - vidējā darba stundas samaksa 2024. gada 1.ceturksnī ir 10,65 EUR, kas nozīmē, ka vidējo uzņēmumu darbiniekam dokumentu sagatavošanai monetārās izmaksas nav lielākas kā 21,30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Investīciju un attīstības aģentūra; 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37 381,50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168 669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3 043 138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4 399 330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168 669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3 043 138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4 399 330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198 435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3 580 163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5 175 683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198 435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3 580 163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5 175 683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-537 025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-776 353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-537 025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-776 353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-537 025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-776 353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-537 025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-776 353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1.2.2.1. pasākuma ietvaros plānotais kopējais attiecināmais finansējums ir 27 613 228 euro (tostarp elastības finansējums 4 355 304 euro), tai skaitā ERAF finansējums 23 471 243 euro (tostarp elastības finansējums 3 702 009 euro) un valsts budžeta līdzfinansējums 4 141 985 euro (tostarp elastības finansējums 653 295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iesniegumā pasākuma īstenošanai kopējo pasākumam pieejamo finansējumu plāno ne vairāk kā 23 257 924 euro apmērā, tai skaitā ERAF finansējumu – 19 769 234 euro apmērā un valsts budžeta līdzfinansējumu – 3 488 690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plānotā pieejamā finansējuma izlietojums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 –  198 435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 –  3 580 163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 –  5 175 683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 -   6 051 554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2029.g. -   8 252 089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Kopumā projektā LIAA paredzētas22 amata vietas. 7 no tām netiks veidotas kā jaunas amata vietas, bet tiks turpinātas kā projekta vadība un īstenošana, pārņemot funkcijas no Atveseļošanās fonda investīcijas, savukārt 15 amata vietas tiks veidotas no jauna, nosakot terminētu laika rāmi līdz 2029.gada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vadības personāla un projekta īstenošanas personāla izmaksas ir 20% apmērā no pārējām tiešajām attiecināmajām izmaksām, neieskaitot personāla atlīdzības izmaksas.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Ekonomikas ministrija pieprasīs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40.10.1.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2018/1046 132.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punkts un 40.9.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Nr. 2023/2831 par Līguma par Eiropas Savienības darbību 107. un 108. panta piemērošanu de minimis atbalstam (turpmāk –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atbalsta pasākumi tiks īstenoti, ievērojot nediskriminācijas principus un vienlīdzīgas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nodrošināto noteikto aktivitāšu kopums labvēlīgi ietekmēs iedzīvotāju sociālo situāciju, tajā skaitā neizslēdz sociālās atstumtības riskam pakļauto grupu pieteikšanos pasākuma aktivitātēm.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tiek vērtēta projekta ideja un tiek piedāvāts attiecīgs atbalsta aktivitāšu klāsts. Tādējādi pasākuma ietvaros tiek nodrošinātas visiem cilvēkiem jeb projekta pieteicējiem vienlīdzīgas un godīgas izredzes izmantot pieejamās atbalsta iespējas. Tas ir, ka tiek vērtēts projekta idejas potenciāls nevis to autoru piederība kādai no sociālajām grupām, piemēram, dzimuma, rases vai etniskās izcelsmes, reliģijas vai pārliecības, invaliditātes, vecuma vai seksuālās orientācijas.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paredz personu datu uzkrāšanu (vārds un uzvārds) finansējuma saņēmēja darbiniekiem, kas iesaistīti gala labuma guvēju pieteikumu vērtēšanas procesā, parakstot šo noteikumu ​pielikumā esošo objektivitātes, konfidencialitātes un interešu konflikta neesības apliecinājumu, ka nepiedalīsies gala labuma guvēju pieteikumu izvērtēšanā interešu konflikta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tiek paredzēta, lai novērstu interešu konflikta riskus atbilstoši likumam Par interešu konflikta novēršanu valsts amatpersonu darbībā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“Vienlīdzība, iekļaušana, nediskriminācija un pamattiesību ievērošana" (turpmāk - HP VINPI). Lai  nodrošinātu, ka projektu īstenošanā tiek veicināta vienlīdzība, iekļaušana, nediskriminācija un  ievērotas  pamattiesības, projektu iesniegumu vērtēšanā tiks piemērots HP VINPI specifiskais atbilstības kritērijs. Kritērijā tiks vērtēts, vai projekta iesniegumā ir paredzēta vismaz viena vispārīgā HP VINPI darbība, kas attiecas uz publicitāti, personālu vai publiskajiem iepirkumiem.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“Nenodarīt būtisku kaitējumu”.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24-TA-672</w:t>
    </w:r>
    <w:r>
      <w:br/>
    </w:r>
    <w:r w:rsidR="00000000" w:rsidRPr="00000000" w:rsidDel="00000000">
      <w:rPr>
        <w:rtl w:val="0"/>
      </w:rPr>
      <w:t xml:space="preserve">Izdrukāts 29.07.2026. 22.11 - 4.0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24-TA-672</w:t>
    </w:r>
    <w:r>
      <w:br/>
    </w:r>
    <w:r w:rsidR="00000000" w:rsidRPr="00000000" w:rsidDel="00000000">
      <w:rPr>
        <w:rtl w:val="0"/>
      </w:rPr>
      <w:t xml:space="preserve">Izdrukāts 29.07.2026. 22.11 - 4.0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anotācija_(ex_ante)_24-TA-672.docx</dc:title>
</cp:coreProperties>
</file>

<file path=docProps/custom.xml><?xml version="1.0" encoding="utf-8"?>
<Properties xmlns="http://schemas.openxmlformats.org/officeDocument/2006/custom-properties" xmlns:vt="http://schemas.openxmlformats.org/officeDocument/2006/docPropsVTypes"/>
</file>