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21. jūnija noteikumos Nr.559 "Noteikumi par vekseļa protesta akta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nepieciešamība izriet no likuma "Grozījumi Vekseļu likumā", kas stājās spēkā 2022. gada 20. jūlijā (turpmāk - Grozījumu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ar Ministru kabineta 2010. gada 21. jūnija noteikumiem Nr. 559 "Noteikumi par vekseļa protesta akta paraugiem" (turpmāk - noteikumi Nr. 559) apstiprinātajos vekseļa protesta akta paraugos iekļaujamo informāciju atbilstoši Grozījumu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Vekseļu likuma 80. panta otrajā daļā noteiktajam protesta aktu noformē atbilstoši Ministru kabineta apstiprinātajam paraugam. Ņemot vērā  minēto deleģējumu, 2010. gadā tika izdoti noteikumi Nr. 559, ar kuriem apstiprināti vekseļa protesta akta paraugi - vekseļa protesta akts sakarā ar vekseļa nesamaksu (noteikumu Nr. 559 1. pielikums) un vekseļa protesta akts sakarā ar vekseļa nepieņemšanu (noteikumu Nr. 559 2.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likumu tika grozītas vairākas Vekseļu likuma normas, kas skar arī vekseļa protesta akta paraugos norādāmo informāciju, tādēļ ir nepieciešams aktualizēt ar noteikumiem Nr. 559 apstiprinātos vekseļa protesta akta paraugus. Detalizētu informāciju skatīt šīs anotācijas apakšsadaļā "Risinājuma apraksts".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Grozījumu likumu Vekseļu likuma 75. pants papildināts ar ceturto daļu, kas noteic, ja vienkāršā vekseļa devējs, indosants, galvinieks, starpnieks vai cita uz vienkāršā vekseļa pamata atbildīgā persona ir fiziskā persona, vienkāršais vekselis izdodams notariālā akta formā, un 80. pants papildināts ar ceturto daļu, nosakot, ka protesta akts par notariālā akta formā izdotu vienkāršo vekseli ir izpildu dokuments, kuru izpilda Civilprocesa likumā noteiktajā tiesas spriedumu izpildes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zvērināts tiesu izpildītājs varētu piedzīt konkrētu summu pēc izpildu dokumenta, protesta aktā jābūt norādītai vekseļa summai. Tādējādi ar Grozījumu likumu Vekseļu likuma 81. panta pirmā daļa papildināta ar 7. punktu, nosakot, ka protesta aktā ir jābūt norādītai vekseļa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to, kāda veida protesta akts sagatavojams par vienkāršo vekseli, t.sk. tādu, kas izdots notariālā akta formā, vispārēji izriet no Vekseļu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noteikumi Nr. 559 ir izdoti ar mērķi apstiprināt vekseļa protesta akta paraugus, iekļaujot tajā informāciju, kas izriet no Vekseļu likuma. Noteikumu Nr. 559 un tajos izdarīto grozījumu mērķis nav noteikt konkrēta protesta akta spēku vai no tā izrietošās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ievērojot Vekseļa likuma 80. panta ceturtajā daļā un 81. panta pirmās daļas 7.punktā noteikto, ar projektu tiek izdarīti grozījumi noteikumu Nr. 559 1. un 2. pielikumā, ietverot norādi, ka protesta aktā jānorāda vekseļa summa, kā arī, papildinot tos ar rekvizītu – "norāde, vai protesta aktam ir izpildu dokumenta spēks" (sk., piemēram, kā tas ir norādīts tiesas lēmumos par pieteikumu par saistību bezstrīdus piespiedu izpildīšanu). Ja attiecīgajam protesta aktam ir izpildu dokumenta spēks, tad protesta aktā norādāma arī informācija, kura nepieciešama zvērinātam tiesu izpildītājam tā izpildes nodrošināšanai Civilprocesa likumā noteiktajā tiesas spriedumu izpildes kārtībā (piespiedu izpildei nododamās saistības un piedzenamās summas apmērs atbilstoši  notariālā akta formā izdotam vienkāršam vekselim).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559 1. un 2. pielikumā šobrīd noteikti šādi uzaicinājuma veidi – rakstiski (nododot paziņojumu personiski, pa pastu vai elektroniski, apliecinātu ar drošu elektronisko parakstu) vai mutiski (pa tālruni, personiski).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likumu Vekseļu likuma 80. panta pirmā daļa izteikta jaunā redakcijā un paredz, ka notārs, kuram protesta izdarīšanai iesniegts vekselis, </w:t>
      </w:r>
      <w:r w:rsidR="00000000" w:rsidRPr="00000000" w:rsidDel="00000000">
        <w:rPr>
          <w:u w:val="single"/>
          <w:rtl w:val="0"/>
        </w:rPr>
        <w:t xml:space="preserve">rakstiski uzaicina</w:t>
      </w:r>
      <w:r w:rsidR="00000000" w:rsidRPr="00000000" w:rsidDel="00000000">
        <w:rPr>
          <w:rtl w:val="0"/>
        </w:rPr>
        <w:t xml:space="preserve"> tās personas, uz kurām protests attiecas, izpildīt savu saistību pēc vekseļa, </w:t>
      </w:r>
      <w:r w:rsidR="00000000" w:rsidRPr="00000000" w:rsidDel="00000000">
        <w:rPr>
          <w:u w:val="single"/>
          <w:rtl w:val="0"/>
        </w:rPr>
        <w:t xml:space="preserve">uzaicinājumu nosūtot uz deklarēto dzīvesvietas adresi, juridisko adresi vai oficiālo elektronisko adresi, ja personai ir aktivizēts oficiālās elektroniskās adreses konts</w:t>
      </w:r>
      <w:r w:rsidR="00000000" w:rsidRPr="00000000" w:rsidDel="00000000">
        <w:rPr>
          <w:rtl w:val="0"/>
        </w:rPr>
        <w:t xml:space="preserve">. Uzaicinājumu </w:t>
      </w:r>
      <w:r w:rsidR="00000000" w:rsidRPr="00000000" w:rsidDel="00000000">
        <w:rPr>
          <w:u w:val="single"/>
          <w:rtl w:val="0"/>
        </w:rPr>
        <w:t xml:space="preserve">nosūta arī uz vienkāršā vekseļa turētāja norādīto uz vienkāršā vekseļa pamata atbildīgās personas adresi, ja tā atšķiras no iepriekš norādītajām adresēm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likuma sākotnējās ietekmes novērtējuma ziņojumā (anotācijā) (pieejama: https://titania.saeima.lv/LIVS13/SaeimaLIVS13.nsf/0/2BFAFC8A541CC1CBC2258816001DBFB6?OpenDocument) norādītajam "ar grozījumiem Vekseļu likuma 80. pantā tiek precizēti paziņošanas veidi, proti, no Vekseļu likuma tiek izslēgta iespēja, ka notārs mutiski uzaicina izpildīt saistību, jo šādu uzaicināšanu nav iespējams pārbaudīt. Vienlaikus minētajā anotācijā vērsta uzmanība, ka minētā norma neliedz papildus uzaicinājuma nosūtīšanai arī mutiski informēt maksātāju par pienākumu izpildīt saistību, tomēr tas ir tikai papildu informēšanas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Vekseļu likuma 80. panta pirmajā daļā iekļautais regulējums noteic tikai rakstisku uzaicināšanu, kā arī no minētās normas redakcijas izriet, ka uzaicinājuma nosūtīšana vispārēji būs iespējama, to nosūtot pa pastu vai uz oficiālo elektronisko adresi, ja personai ir aktivizēts oficiālās elektroniskās adreses konts. Tādējādi noteikumu Nr. 559 1. un 2. pielikumā izdarīti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Nr. 559 2. pielikuma svītrota norāde "nebija sastopams", kas būtu uzskatāma par maldinošu rakstiska uzaicinājuma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aktualizētu ar noteikumiem Nr. 559 apstiprinātos vekseļa protesta akta paraugus atbilstoši Grozījumu likumam, vienīgais risinājums ir izstrādāt projektu par grozījumiem noteikumos Nr. 559.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institūcija piemēro sabiedrības līdzdalības kārtību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noteikumiem Nr. 559 apstiprinātajos vekseļu protesta akta paraugos iekļautā informācija tiek aktualizēta atbilstoši Grozījumu likumam (t.i., vekseļa protesta akta paraugos tiek norādīta informācija, kas izriet no Vekseļu likuma), uz šo projektu sabiedrības līdzdalība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līdzdalību Grozījumu likuma izstrādes procesā un tās rezultātiem informācija pieejama Grozījumu likuma sākotnējās ietekmes novērtējuma ietekmes ziņojumā (anotācijā) (sk. https://titania.saeima.lv/LIVS13/SaeimaLIVS13.nsf/0/2BFAFC8A541CC1CBC2258816001DBFB6?OpenDocument).</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un zvērināti tiesu izpildītāji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tiks veikta esošo valsts pārvaldes funkciju ietvaros, tas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22-TA-3317</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22-TA-3317</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anotācija_(ex_ante)_22-TA-3317.docx</dc:title>
</cp:coreProperties>
</file>

<file path=docProps/custom.xml><?xml version="1.0" encoding="utf-8"?>
<Properties xmlns="http://schemas.openxmlformats.org/officeDocument/2006/custom-properties" xmlns:vt="http://schemas.openxmlformats.org/officeDocument/2006/docPropsVTypes"/>
</file>