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 2021. – 2027. gadam 1.2. prioritārā virziena "Produktivitāte, inovācijas un prasmes " 1.2.1. specifikā atbalsta mērķa "Pētniecības un inovāciju kapacitātes stiprināšana un progresīvu tehnoloģiju ieviešana uzņēmumiem" 1.2.1.1. pasākuma "Atbalsts jaunu produktu attīstībai un internacionalizācijai" otrās kārtas īstenošanas noteikumi” (turpmāk – MK noteikumu projekts) ir izstrādāts pēc Ekonomikas ministrijas (turpmāk – atbildīgā iestāde) iniciatīvas un saskaņā ar Eiropas Savienības fondu 2021. – 2027. gada plānošanas perioda vadības likuma (turpmāk – Fondu vadības likums)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nodrošināt finansējumu sadarbības tīklu dalībnieku internacionalizācijai un sadarbības veicināšanai starp privāto, publisko un pētniecības sektoru.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16. februāra rīkojuma Nr. 93 “Par Nacionālās industriālās politikas pamatnostādnēm 2021. – 2027. gadam” (turpmāk – NIP2027) mērķis ir palielināt eksporta apjomu līdz 27 miljardiem </w:t>
      </w:r>
      <w:r w:rsidR="00000000" w:rsidRPr="00000000" w:rsidDel="00000000">
        <w:rPr>
          <w:i w:val="1"/>
          <w:rtl w:val="0"/>
        </w:rPr>
        <w:t xml:space="preserve">euro </w:t>
      </w:r>
      <w:r w:rsidR="00000000" w:rsidRPr="00000000" w:rsidDel="00000000">
        <w:rPr>
          <w:rtl w:val="0"/>
        </w:rPr>
        <w:t xml:space="preserve">ikgadējā eksportā. Attiecīgi NIP2027 apakšmērķis nosaka izdevumu apjoma palielināšanu pētniecības un attīstības darbībām, līdz 2027. gadam sasniedzot līdz 600 miljoniem </w:t>
      </w:r>
      <w:r w:rsidR="00000000" w:rsidRPr="00000000" w:rsidDel="00000000">
        <w:rPr>
          <w:i w:val="1"/>
          <w:rtl w:val="0"/>
        </w:rPr>
        <w:t xml:space="preserve">euro </w:t>
      </w:r>
      <w:r w:rsidR="00000000" w:rsidRPr="00000000" w:rsidDel="00000000">
        <w:rPr>
          <w:rtl w:val="0"/>
        </w:rPr>
        <w:t xml:space="preserve">gadā. Viens no nacionālas zinātniskās ekselences un inovāciju kapacitātes rādītājiem ir spēja iesaistīties ES līmeņa vai starptautiskās pētniecības, attīstības un inovāciju  aktivitātēs un piesaistīt publiskās investīcijas no Eiropas Savienības (turpmāk - ES) vai starptautiskajām pētniecības un attīstības programmām (piemēram, Apvārsnis-Eiropa, Digitālā Eiropa un citi), kas arī ir izvirzīts kā viens no NIP2027 noteiktajiem viedās specializācijas jomu (turpmāk – RIS3) ekosistēmu stratēģiskās attīstības mērķiem. Līdz ar to nepieciešams veicināt privātās, publiskās un akadēmiskās vides pārstāvju sadarbību ne tikai vietējā, bet arī starptautiskā mērogā, lai sekmētu augstākas pievienotās vērtības produktu un pakalpojumu izstrādi un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Latvijas ieguldījumu pētniecībā un attīstībā ES līmenī,  ir nepieciešams pilnvērtīgi izmantot atbalsta programmu sniegtās iespējas. Latvijas eksporta apjoma paaugstināšana, kas ir viena no NIP2027 mērķiem, sniegs paliekošu efektu uz tautsaimniecību. Vienlaikus, lai nodrošinātu augstāku eksportējamo preču un pakalpojumu pievienoto vērtību, ir jāorientējas ne tikai uz nozaru atbalstu, bet uz produktu/nišu atbalsta pieeju, kas ietver prioritāšu maiņu un lielāku eksporta veicināšanas aktivitāšu atbalstu par labu tiem produktiem, kas ir ar augstāku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Eiropas Savienības kohēzijas politikas programmas 2021.–2027. gadam 1.2. prioritārā virziena “Produktivitāte, inovācijas un prasmes” 1.2.1. specifiskā atbalsta mērķa "Pētniecības un inovāciju kapacitātes stiprināšana un progresīvu tehnoloģiju ieviešana uzņēmumiem" 1.2.1.1. pasākuma “Atbalsts jaunu produktu attīstībai un internacionalizācijai” (turpmāk – 1.2.1.1. pasākums) plānotais finansējums ir 55 982 375 </w:t>
      </w:r>
      <w:r w:rsidR="00000000" w:rsidRPr="00000000" w:rsidDel="00000000">
        <w:rPr>
          <w:i w:val="1"/>
          <w:rtl w:val="0"/>
        </w:rPr>
        <w:t xml:space="preserve">euro</w:t>
      </w:r>
      <w:r w:rsidR="00000000" w:rsidRPr="00000000" w:rsidDel="00000000">
        <w:rPr>
          <w:rtl w:val="0"/>
        </w:rPr>
        <w:t xml:space="preserve">, kas iedalās šādās 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pirmā kārta – Pārvaldības programma ar kopējo plānoto finansējumu 8 127 804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otrā kārta – Sadarbības tīklu programma ar kopējo plānoto finansējumu 11 611 149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trešā kārta – Kompetence centru programma ar kopējo plānoto finansējumu 35 459 395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1.2.1.1. pasākuma mērķis ir veicināt Latvijas uzņēmumu iesaisti starptautiskos inovāciju projektos un ieviest jaunas tehnoloģijas, kas uzlabos Latvijas uzņēmumu inovāciju kapacitāti, piesaistot papildus līdzekļus, veicinās zināšanu pārnesi starptautiskā līmenī, kā arī radīs labvēlīgus apstākļus ciešākai integrācijai globālās vērtību ķēdēs un produktus un pakalpojumus ar augtu pievienoto vērtību. Lai nodrošinātu veiksmīgu Latvijas uzņēmumu internacionalizāciju ir nepieciešams nodrošināt dažādas atbalsta funkcijas, kas uzlabotu uzņēmumu inovāciju un pētniecības kapacitāti nacionālā līmenī, izmantojot gan pētniecības aktivitātes, gan ieguldījumus progresīvās tehnoloģijās, kā arī mērķtiecīgi veidot inovācijām labvēlīgu vidi, koncentrējoties uz konkrētiem izaicinājumiem RIS3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struktūrfondu un Kohēzijas fonda 2014.–2020. gada plānošanas periodā tika realizēta līdzīga programma – darbības programma “Izaugsme un nodarbinātība” 3.2.1. specifiskā atbalsta mērķa “Palielināt augstas pievienotās vērtības produktu un pakalpojumu eksporta proporciju” 3.2.1.1. pasākuma “Klasteru programma” (turpmāk – Klasteru programma). Klasteru programmas ietvaros tika apstiprināti 14 projekti. Pasākuma mērķis bija veicināt komersantu un pētniecības, izglītības un zināšanu izplatīšanas organizāciju un citu institūciju sadarbību vietējā un starptautiskajā līmenī, tādējādi veicinot komersantu konkurētspējas celšanu, palielinot eksporta apjomu un augstas pievienotās vērtības produktu un pakalpojumu īpatsvaru eksportā, kā arī inovāciju un jaunu produktu veidošanos. Klasteru programmas ietvaros, klasterus izveidoja nozaru asociācijas ar plašu biedru loku un plašām zināšanām par nozares attīstību, kas tiek integrēta RIS3 jomu inovācijas klasteru (vadības grupu) ekosistēmā. Klasteru programmas ietvaros tika īstenotas vairāk kā 3300 aktivitātes. Balstoties uz 14 klasteru iesniegto informāciju, klasteru dalībnieku kopējais apgrozījums 2020. gadā salīdzinājumā pret 2018. gadu palielinājās par 690 milj. </w:t>
      </w:r>
      <w:r w:rsidR="00000000" w:rsidRPr="00000000" w:rsidDel="00000000">
        <w:rPr>
          <w:i w:val="1"/>
          <w:rtl w:val="0"/>
        </w:rPr>
        <w:t xml:space="preserve">euro </w:t>
      </w:r>
      <w:r w:rsidR="00000000" w:rsidRPr="00000000" w:rsidDel="00000000">
        <w:rPr>
          <w:rtl w:val="0"/>
        </w:rPr>
        <w:t xml:space="preserve">(37.78%) un kopējais eksporta apjoms palielinājās par 357 milj. </w:t>
      </w:r>
      <w:r w:rsidR="00000000" w:rsidRPr="00000000" w:rsidDel="00000000">
        <w:rPr>
          <w:i w:val="1"/>
          <w:rtl w:val="0"/>
        </w:rPr>
        <w:t xml:space="preserve">euro </w:t>
      </w:r>
      <w:r w:rsidR="00000000" w:rsidRPr="00000000" w:rsidDel="00000000">
        <w:rPr>
          <w:rtl w:val="0"/>
        </w:rPr>
        <w:t xml:space="preserve">(53.90%). Klasteru programmas sasniegtie rādītāji un realizētās aktivitātes apliecina programmas pienesumu Nacionālās industriālās politikas pamatnostādņu 2014 – 2021 piektā rīcības virziena – eksporta vecināšana, mērķu sasniegšanā. Ņemot vērā programmas sasniegtos rezultātus, nepieciešams turpināt atbalstu internacionalizācijas un sadarbības veicināšanai, integrējot šo programmu RIS3 jomas inovācijas klasteru (vadības grupu) ekosistēmā.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NIP2027 viena no konstatētajām Latvijas tautsaimniecības problēmām ir, ka Latvijas līdzšinējā konkurences priekšrocība ir saistīta ar zemām darbaspēka izmaksām, kas rada risku nokļūt vidēju ienākumu slazdā. Ekonomikas modeļa balstīšana uz zemas zināšanu ietilpības aktivitātēm, ierobežotais eksportspējīgo uzņēmumu skaits, kā arī lielais mikro uzņēmumu īpatsvars ekonomikā nestimulē virzību uz zināšanās un inovācijās balstītu ekonomiku. Latvijas ražotājiem nepieciešams attīstīt ar tehnoloģijām un inovācijām saistītās konkurences priekšrocību. Šī mērķa sasniegšanai ir nepieciešams veidot atbalsta instrumentu, kas paaugstinātu privātā sektora investīcijas pētniecībā un attīstībā, veicinātu starpsektoru vietējo un starptautisko sadarbību inovāciju procesā un nodrošināt RIS3 jomu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tīklu programmas ietvaros tiek izveidots atbalsta instruments sadarbības tīkliem, kas ir biedrība vai nodibinājums, kas apvieno komersantus, pētniecības un zināšanu izplatīšanas organizācijas, biedrības, nodibinājumus un citas institūcijas, kas darbojas savstarpēji saistītās nozarēs, tautsaimniecības nišās, produkta vai pakalpojuma grupās, vērtības ķēdēs vai reģionā. Sadarbības tīklu programmas mērķis ir veicināt komersantu, pētniecības un zināšanu izplatīšanas organizāciju un citu institūciju sadarbību vietējā un starptautiskā līmenī, palielināt komersantu ieguldījumus attīstībā un inovācijās, tādējādi veicinot uzņēmumu konkurētspējas paaugstināšanos, produktivitātes, eksportspējas celšanu un inovāciju ekosistēmas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Latvijas tautsaimniecības virzību uz RIS3 jomu attīstību un veicinātu ar tehnoloģijām un inovācijām saistītās konkurences priekšrocības, pasākuma ietvaros tiek plānots sniegt atbalstu sīkajiem (mikro), mazajiem, vidējiem, lielajiem komersantiem, tai skaitā valsts kapitālsabiedrībām, un pētniecības un zināšanu izplatīšanas organizācijām RIS3 jomās, nodrošinot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pētniecības vajadzību identificēšanai;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pieredzes un zināšanu pārneses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eksporta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dalībai ES līmeņa sadarbības veicināšanas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un citām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sniegs ieguldījumu “Par Valdības rīcības plānu Deklarācijas par Evikas Siliņas vadītā Ministru kabineta iecerēto darbību īstenošanai” pasākuma Nr. 23.1 izpildē, veidojot atbalsta programmu, kuras ietvaros tiks veidota inovācijas ekosistēma, cieši sadarbojoties publiskajam, privātajam, akadēmiskajam un nevalstiskajam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Īss Sadarbības tīklu programmas īstenošanas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pasākuma ietvaros Centrālā finanšu un līgumu aģentūra (turpmāk - sadarbības iestāde) rīko atklātu konkursu, kurā sadarbības tīkls jeb finansējuma saņēmējs piesakās atbalsta saņemšanai. Sadarbības tīkls projekta īstenošanai piesaista sadarbības tīkla dalībniekus jeb mērķa grupu, lai veicinātu eksporta pieaugumu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sadarbības iestāde pēc atlases īstenošanas noslēdz līgumu ar sadarbības tīklu par projekta īstenošanu. Notiek projekta ieviešana, kā rezultāta sadarbības tīkls iesniedz maksājuma pieprasījumus un atskaitās par sasniegtajiem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sadarbības iestāde veic projekta uzraudzību attiecīgi noteikumu projekta nosacījumiem. Konstatētu pārkāpumu gadījumā saistībā ar komercdarbības atbalsta kontroles normām, sadarbības tīkla dalībniekam ir pienākums atmaksāt sadarbības tīklam projekta ietvaros saņemto </w:t>
      </w:r>
      <w:r w:rsidR="00000000" w:rsidRPr="00000000" w:rsidDel="00000000">
        <w:rPr>
          <w:i w:val="1"/>
          <w:rtl w:val="0"/>
        </w:rPr>
        <w:t xml:space="preserve">de minimis</w:t>
      </w:r>
      <w:r w:rsidR="00000000" w:rsidRPr="00000000" w:rsidDel="00000000">
        <w:rPr>
          <w:rtl w:val="0"/>
        </w:rPr>
        <w:t xml:space="preserve"> atbalstu. Sadarbības tīkls atmaksā sadarbības iestādei nelikumīgo komercdarbības atbalstu un pēc tam kārto savas saistības ar sadarbības tīkla dalībnieku. Ja konkrētie pārkāpumi tiek konstatēti sadarbības tīklam, tas sadarbības iestādei atmaksā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projekta ietvaros plānots sniegt atbalstu vismaz 12 sadarbības tīkliem un 240 neunikāliem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atbalsts sadarbības tīkliem un sadarbības tīkla dalībniekiem tiek sniegts granta un nefinanšu atbalsta veidā. Pasākuma ietvaros kopējais plānotais finansējums ir 11 611 149 </w:t>
      </w:r>
      <w:r w:rsidR="00000000" w:rsidRPr="00000000" w:rsidDel="00000000">
        <w:rPr>
          <w:i w:val="1"/>
          <w:rtl w:val="0"/>
        </w:rPr>
        <w:t xml:space="preserve">euro </w:t>
      </w:r>
      <w:r w:rsidR="00000000" w:rsidRPr="00000000" w:rsidDel="00000000">
        <w:rPr>
          <w:rtl w:val="0"/>
        </w:rPr>
        <w:t xml:space="preserve">(tai skaitā elastības finansējuma apjoms 1 831 371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9 869 476 </w:t>
      </w:r>
      <w:r w:rsidR="00000000" w:rsidRPr="00000000" w:rsidDel="00000000">
        <w:rPr>
          <w:i w:val="1"/>
          <w:rtl w:val="0"/>
        </w:rPr>
        <w:t xml:space="preserve">euro </w:t>
      </w:r>
      <w:r w:rsidR="00000000" w:rsidRPr="00000000" w:rsidDel="00000000">
        <w:rPr>
          <w:rtl w:val="0"/>
        </w:rPr>
        <w:t xml:space="preserve">(tai skaitā elastības finansējuma apjoms 1 556 666 </w:t>
      </w:r>
      <w:r w:rsidR="00000000" w:rsidRPr="00000000" w:rsidDel="00000000">
        <w:rPr>
          <w:i w:val="1"/>
          <w:rtl w:val="0"/>
        </w:rPr>
        <w:t xml:space="preserve">euro</w:t>
      </w:r>
      <w:r w:rsidR="00000000" w:rsidRPr="00000000" w:rsidDel="00000000">
        <w:rPr>
          <w:rtl w:val="0"/>
        </w:rPr>
        <w:t xml:space="preserve">), valsts budžeta finansējums 1 741 673 </w:t>
      </w:r>
      <w:r w:rsidR="00000000" w:rsidRPr="00000000" w:rsidDel="00000000">
        <w:rPr>
          <w:i w:val="1"/>
          <w:rtl w:val="0"/>
        </w:rPr>
        <w:t xml:space="preserve">euro </w:t>
      </w:r>
      <w:r w:rsidR="00000000" w:rsidRPr="00000000" w:rsidDel="00000000">
        <w:rPr>
          <w:rtl w:val="0"/>
        </w:rPr>
        <w:t xml:space="preserve">(tai skaitā elastības finansējums 274 705 </w:t>
      </w:r>
      <w:r w:rsidR="00000000" w:rsidRPr="00000000" w:rsidDel="00000000">
        <w:rPr>
          <w:i w:val="1"/>
          <w:rtl w:val="0"/>
        </w:rPr>
        <w:t xml:space="preserve">euro</w:t>
      </w:r>
      <w:r w:rsidR="00000000" w:rsidRPr="00000000" w:rsidDel="00000000">
        <w:rPr>
          <w:rtl w:val="0"/>
        </w:rPr>
        <w:t xml:space="preserve">). Savukārt, viena projekta maksimāli pieļaujamais finansējums ir 814 981 </w:t>
      </w:r>
      <w:r w:rsidR="00000000" w:rsidRPr="00000000" w:rsidDel="00000000">
        <w:rPr>
          <w:i w:val="1"/>
          <w:rtl w:val="0"/>
        </w:rPr>
        <w:t xml:space="preserve">euro</w:t>
      </w:r>
      <w:r w:rsidR="00000000" w:rsidRPr="00000000" w:rsidDel="00000000">
        <w:rPr>
          <w:rtl w:val="0"/>
        </w:rPr>
        <w:t xml:space="preserve">, tai skaitā ERAF finansējums 692 734 </w:t>
      </w:r>
      <w:r w:rsidR="00000000" w:rsidRPr="00000000" w:rsidDel="00000000">
        <w:rPr>
          <w:i w:val="1"/>
          <w:rtl w:val="0"/>
        </w:rPr>
        <w:t xml:space="preserve">euro</w:t>
      </w:r>
      <w:r w:rsidR="00000000" w:rsidRPr="00000000" w:rsidDel="00000000">
        <w:rPr>
          <w:rtl w:val="0"/>
        </w:rPr>
        <w:t xml:space="preserve">, valsts budžeta finansējums 122 247 </w:t>
      </w:r>
      <w:r w:rsidR="00000000" w:rsidRPr="00000000" w:rsidDel="00000000">
        <w:rPr>
          <w:i w:val="1"/>
          <w:rtl w:val="0"/>
        </w:rPr>
        <w:t xml:space="preserve">euro</w:t>
      </w:r>
      <w:r w:rsidR="00000000" w:rsidRPr="00000000" w:rsidDel="00000000">
        <w:rPr>
          <w:rtl w:val="0"/>
        </w:rPr>
        <w:t xml:space="preserve">. Vienlaikus minimālais kopējo attiecināmo izmaksu apmērs ir 200 000 </w:t>
      </w:r>
      <w:r w:rsidR="00000000" w:rsidRPr="00000000" w:rsidDel="00000000">
        <w:rPr>
          <w:i w:val="1"/>
          <w:rtl w:val="0"/>
        </w:rPr>
        <w:t xml:space="preserve">euro</w:t>
      </w:r>
      <w:r w:rsidR="00000000" w:rsidRPr="00000000" w:rsidDel="00000000">
        <w:rPr>
          <w:rtl w:val="0"/>
        </w:rPr>
        <w:t xml:space="preserve">. Pasākuma ietvaros viens sadarbības tīkla dalībnieks viena vienota uzņēmuma līmenī no sadarbības tīkla var saņemt </w:t>
      </w:r>
      <w:r w:rsidR="00000000" w:rsidRPr="00000000" w:rsidDel="00000000">
        <w:rPr>
          <w:i w:val="1"/>
          <w:rtl w:val="0"/>
        </w:rPr>
        <w:t xml:space="preserve">de minimis</w:t>
      </w:r>
      <w:r w:rsidR="00000000" w:rsidRPr="00000000" w:rsidDel="00000000">
        <w:rPr>
          <w:rtl w:val="0"/>
        </w:rPr>
        <w:t xml:space="preserve"> atbalstu ne vairāk kā 50 000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Sadarbības tīklu programmas īstenošanas laiks ir 2029. gada 31. 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balstoties uz atbildīgās iestādes aplēsēm un Klasteru programmas sasniegtajiem rezultātiem, tiek prognozēts, ka programmas provizoriskā ietekme uz tautsaimniecību ir eksporta pieaugums par 100 milj. euro, salīdzinot eksporta apjomu sadarbības tīkla dalībniekiem pirms projekta uzsākšanas un pēc tā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pašlaik notiek projektu īstenošana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ietvaros, plānots, ka projektu iesniegumu atlase MK noteikumu ietvaros tiks uzsākta 2025. gada 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saņēmējs un gala labuma guvējs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tīklu programmas ietvaros finansējuma saņēmējs ir sadarbības tīkls. Sadarbības tīkls ir biedrība vai nodibinājums, kas apvieno sadarbības tīkla dalībniekus, kas darbojas savstarpēji saistītās nozarēs, tautsaimniecības nišās, produkta vai pakalpojuma grupās, vērtības ķēdēs vai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vērtēšanai sadarbības iestāde izveido projektu iesniegumu vērtēšanas komisiju. Projektu iesniegumu atlases procesā tiks vērtēta sadarbības tīkla atbilstība komercdarbības atbalsta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iesniegumā pievieno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par sadarbības tīkla: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konstatētajiem nozares attīstības izaicinājumiem un sadarbības tīkla nepieciešamības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darbības misiju, vīziju un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projekta mērķi, balstoties uz Sadarbības tīklu programmas īstenošanas mērķi, un skaidru raksturojumu, kādā veidā šis mērķis projekta ietvaros tiks sasniegts;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RIS3 jomu, kurā tas darbosies;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kopīgajiem ieguvumiem, kas vieno sadarbības tīkla esošos un potenciālos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sadarbību ar pētniecības un zināšanu izplatīšanas organizācijām, kas ietver informāciju par paredzamo sadarbības modeli (sadarbības veidu), informāciju par paredzamo pētniecības un zināšanu izplatīšanas organizāciju ieguldījumu projekta ietvaros, pētniecības un zināšanu izplatīšanas organizāciju darbības projekta ietvaros un projektā iesaistīto pētniecības un zināšanu izplatīšanas organizāciju nosaukumus un juridiskās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darbības virzienus un sasniedzamos rezultātus projekta īstenošanas periodam. Galvenās veicamās darbības un sasniedzamos rezultātus, lai veicinātu sadarbību jaunu produktu un tehnoloģiju eksportēšanā, lai attīstītu pētniecības un attīstības kapacitāti uzņēmumos, lai veicinātu jauno produktu un tehnoloģiju eksportēšanu, un lai nodrošinātu produktivitātes kāpumu ar zināšanu pārnesi;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sadarbības tīkla modeli, iekļaujot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sadarbības tīkla organizatorisko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sadarbības tīkla pārvaldības lēmumu pieņemšanas kārtība, atbildības sadale un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plānotie pasākumi komunikācijas nodrošināšanai starp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kārtība, jaunu dalībnieku iesaistei sadarbības tīklā un dalībnieku izstāšanās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aprakstīti sadarbības tīkla finansēšanas avoti, tai skaitā biedra naudas, ieņēmumi no pārdotajiem produktiem/pakalpojumiem, ja tādi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aprakstīts, kā plānots nodrošināt sadarbības tīkla darbības finansiālo ilgtspēju un dzīvotspēju pēc pasākuma īstenošanas beigām (bez publiskā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par sadarbības tīkla apgrozījuma apjomu 40 milj. </w:t>
      </w:r>
      <w:r w:rsidR="00000000" w:rsidRPr="00000000" w:rsidDel="00000000">
        <w:rPr>
          <w:i w:val="1"/>
          <w:rtl w:val="0"/>
        </w:rPr>
        <w:t xml:space="preserve">euro </w:t>
      </w:r>
      <w:r w:rsidR="00000000" w:rsidRPr="00000000" w:rsidDel="00000000">
        <w:rPr>
          <w:rtl w:val="0"/>
        </w:rPr>
        <w:t xml:space="preserve">un eksporta apjomu 8 milj. </w:t>
      </w:r>
      <w:r w:rsidR="00000000" w:rsidRPr="00000000" w:rsidDel="00000000">
        <w:rPr>
          <w:i w:val="1"/>
          <w:rtl w:val="0"/>
        </w:rPr>
        <w:t xml:space="preserve">euro </w:t>
      </w:r>
      <w:r w:rsidR="00000000" w:rsidRPr="00000000" w:rsidDel="00000000">
        <w:rPr>
          <w:rtl w:val="0"/>
        </w:rPr>
        <w:t xml:space="preserve">gadā izvēlēts atbilstoši Klasteru programmas pieejamajiem datiem, ņemti vērā, gan mazo un vidējo, gan lielo komersantu rādītāji. Sadarbības tīklam ar lielākiem rādītājiem ir iespēja saņemt papildus punktus pie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 atbilstības nosacījumos un projekta iesniegumu vērtēšanas kritērijos tiek skatīti tikai savstarpēji nesaistītu sīko (mikro), mazo, vidējo un lielo komersantu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atbalstīts vismaz viens sadarbības tīkls katrā no RIS3 jomām, taču tas neliedz iespēju sadarbības tīklam īstenot projektu vairākās RIS3 jomās. Tāpat, lai pret sadarbības tīkliem nevērstu jebkāda veida ierobežojumus, sadarbības tīklam nav jābūt RIS3 vadības grupā jeb inovācijas klasterī.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tīklā darbojas sadarbības tīkla dalībnieki (nav obligāti jābūt sadarbības tīkla biedram), kas ir komersanti (sīkie (mikro), mazie un vidējie, lielie komersanti, t.sk. valsts kapitālsabiedrības un pētniecības un zināšanu izplatīšanas organizācijas RIS3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dalībnieku, proti, uzņēmumu un pētniecības un zināšanu izplatīšanas organizāciju atbilstību komercdarbības atbalsta prasībām vērtēs sadarbības tīkls pirms </w:t>
      </w:r>
      <w:r w:rsidR="00000000" w:rsidRPr="00000000" w:rsidDel="00000000">
        <w:rPr>
          <w:i w:val="1"/>
          <w:rtl w:val="0"/>
        </w:rPr>
        <w:t xml:space="preserve">de minimis</w:t>
      </w:r>
      <w:r w:rsidR="00000000" w:rsidRPr="00000000" w:rsidDel="00000000">
        <w:rPr>
          <w:rtl w:val="0"/>
        </w:rPr>
        <w:t xml:space="preserve"> atbalsta piešķiršanas. Vienlaikus, tiks veikta pētniecības un zināšanu izplatīšanas organizāciju statusa atbilstības pārbaude, vai pētniecības un zināšanu izplatīšanas organizācija ir reģistrēta Zinātnisko institūciju reģistrā — NZDIS (sciencelatvia.lv).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un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kopējais plānotais finansējums ir 11 611 149 </w:t>
      </w:r>
      <w:r w:rsidR="00000000" w:rsidRPr="00000000" w:rsidDel="00000000">
        <w:rPr>
          <w:i w:val="1"/>
          <w:rtl w:val="0"/>
        </w:rPr>
        <w:t xml:space="preserve">euro </w:t>
      </w:r>
      <w:r w:rsidR="00000000" w:rsidRPr="00000000" w:rsidDel="00000000">
        <w:rPr>
          <w:rtl w:val="0"/>
        </w:rPr>
        <w:t xml:space="preserve">(tai skaitā elastības finansējuma apjoms 1 831 371 </w:t>
      </w:r>
      <w:r w:rsidR="00000000" w:rsidRPr="00000000" w:rsidDel="00000000">
        <w:rPr>
          <w:i w:val="1"/>
          <w:rtl w:val="0"/>
        </w:rPr>
        <w:t xml:space="preserve">euro</w:t>
      </w:r>
      <w:r w:rsidR="00000000" w:rsidRPr="00000000" w:rsidDel="00000000">
        <w:rPr>
          <w:rtl w:val="0"/>
        </w:rPr>
        <w:t xml:space="preserve">), tai skaitā ERAF finansējums 9 869 476 </w:t>
      </w:r>
      <w:r w:rsidR="00000000" w:rsidRPr="00000000" w:rsidDel="00000000">
        <w:rPr>
          <w:i w:val="1"/>
          <w:rtl w:val="0"/>
        </w:rPr>
        <w:t xml:space="preserve">euro </w:t>
      </w:r>
      <w:r w:rsidR="00000000" w:rsidRPr="00000000" w:rsidDel="00000000">
        <w:rPr>
          <w:rtl w:val="0"/>
        </w:rPr>
        <w:t xml:space="preserve">(tai skaitā elastības finansējuma apjoms 1 556 666 </w:t>
      </w:r>
      <w:r w:rsidR="00000000" w:rsidRPr="00000000" w:rsidDel="00000000">
        <w:rPr>
          <w:i w:val="1"/>
          <w:rtl w:val="0"/>
        </w:rPr>
        <w:t xml:space="preserve">euro</w:t>
      </w:r>
      <w:r w:rsidR="00000000" w:rsidRPr="00000000" w:rsidDel="00000000">
        <w:rPr>
          <w:rtl w:val="0"/>
        </w:rPr>
        <w:t xml:space="preserve">), valsts budžeta finansējums 1 741 673 </w:t>
      </w:r>
      <w:r w:rsidR="00000000" w:rsidRPr="00000000" w:rsidDel="00000000">
        <w:rPr>
          <w:i w:val="1"/>
          <w:rtl w:val="0"/>
        </w:rPr>
        <w:t xml:space="preserve">euro </w:t>
      </w:r>
      <w:r w:rsidR="00000000" w:rsidRPr="00000000" w:rsidDel="00000000">
        <w:rPr>
          <w:rtl w:val="0"/>
        </w:rPr>
        <w:t xml:space="preserve">(tai skaitā elastības finansējums 274 705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kopējais pieejamais finansējums ir 9 779 778 </w:t>
      </w:r>
      <w:r w:rsidR="00000000" w:rsidRPr="00000000" w:rsidDel="00000000">
        <w:rPr>
          <w:i w:val="1"/>
          <w:rtl w:val="0"/>
        </w:rPr>
        <w:t xml:space="preserve">euro</w:t>
      </w:r>
      <w:r w:rsidR="00000000" w:rsidRPr="00000000" w:rsidDel="00000000">
        <w:rPr>
          <w:rtl w:val="0"/>
        </w:rPr>
        <w:t xml:space="preserve">, tai skaitā ERAF finansējums 8 312 810 </w:t>
      </w:r>
      <w:r w:rsidR="00000000" w:rsidRPr="00000000" w:rsidDel="00000000">
        <w:rPr>
          <w:i w:val="1"/>
          <w:rtl w:val="0"/>
        </w:rPr>
        <w:t xml:space="preserve">euro</w:t>
      </w:r>
      <w:r w:rsidR="00000000" w:rsidRPr="00000000" w:rsidDel="00000000">
        <w:rPr>
          <w:rtl w:val="0"/>
        </w:rPr>
        <w:t xml:space="preserve">, valsts budžeta finansējums 1 466 968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Kohēzijas politikas programmā 2021.–2027. gadam noteiktas ERAF finansējuma sadalījums pa intervences kodiem, atbilstoši MK noteikumu projektā paredzētajām atbalstāmajām darbībām, ir “171 - Sadarbības uzlabošana ar partneriem gan dalībvalstī, gan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kods ir Nr. 1 - grants - 9 869 476 </w:t>
      </w:r>
      <w:r w:rsidR="00000000" w:rsidRPr="00000000" w:rsidDel="00000000">
        <w:rPr>
          <w:i w:val="1"/>
          <w:rtl w:val="0"/>
        </w:rPr>
        <w:t xml:space="preserve">euro </w:t>
      </w:r>
      <w:r w:rsidR="00000000" w:rsidRPr="00000000" w:rsidDel="00000000">
        <w:rPr>
          <w:rtl w:val="0"/>
        </w:rPr>
        <w:t xml:space="preserve">(ERAF).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ir noteikti šādi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līdz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atbalstīto uzņēmumu (tai skaitā: mikrouzņēmumi, mazi, vidēji un lieli uzņēmumi) skaits –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nefinansiālu atbalstu saņēmušo uzņēmumu skaits – 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līdz 2029.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ar grantiem atbalstīto uzņēmumu skaits –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atbalstīto uzņēmumu (tai skaitā: mikrouzņēmumi, mazi, vidēji un lieli uzņēmumi) skaits – 190;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nefinansiālu atbalstu saņēmušo uzņēmumu skaits – 137;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publisko atbalstu papildinošās privātās investīcijas (tai skaitā: granti, finanšu instrumenti) - 1 038 750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internacionalizāciju pasākuma ietvaros, nacionālais rādītājs paredz eksporta apjoma palielinājumu 100 milj. </w:t>
      </w:r>
      <w:r w:rsidR="00000000" w:rsidRPr="00000000" w:rsidDel="00000000">
        <w:rPr>
          <w:i w:val="1"/>
          <w:rtl w:val="0"/>
        </w:rPr>
        <w:t xml:space="preserve">euro </w:t>
      </w:r>
      <w:r w:rsidR="00000000" w:rsidRPr="00000000" w:rsidDel="00000000">
        <w:rPr>
          <w:rtl w:val="0"/>
        </w:rPr>
        <w:t xml:space="preserve">apmērā, salīdzinot eksporta apjomu sadarbības tīkla dalībniekiem pirms projekta uzsākšanas un pēc tā īstenošanas. Vienlaikus, plānots organizēt 1000 vizītes pie sadarbības partneriem un veikt 60 tirgus pētījumus.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noteikts, ka sadarbības tīklam jāuzkrāj informācija par sadarbības tīkla dalībnieka eksporta apjomu un produktivitātes pieaugumu, vienlaikus sniedzot informāciju vai šie rādītāji sasniedz vismaz 10 % atbalstītajos sadarbības tīkla dalībniekos 5 gadus laikā no sadarbības tīkla dalībnieku noslēguma pārskata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sadarbības tīkla dalībnieks pēc noslēguma atskaites iesniegšanas reizi gadā piecu gadu periodā iesniedz sadarbības tīklam informāciju par ieguldījums eksporta apjomā un produktivitātes pieaugumā. Šis nosacījums tik paredzēts līgumā starp sadarbības iestādi un sadarbības tīklu.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Ministru kabineta 2023. gada 7. novembra sēdes protokola Nr. 56 uzdevumiem Nr. 23-UZ-585, atbildīgajai iestādei ir uzdots izstrādāt kritēriju par darbaspēka produktivitātes pieaugumu atbalstu saņēmušajos uzņēmumos un kritēriju, kas nosaka, ka atbalstītajos uzņēmumos tiek panākta eksporta apjomu palielināšana par 10% un produktivitātes kāpums par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Produktivitāte ir nozīmīgākais ekonomiskās izaugsmes faktors, kas ir iedzīvotāju labklājības paaugstināšanas svarīgs priekšnosacījums. Tātad tikai palielinot produktivitāti var paaugstināt iedzīvotāju labklājības līmeni un ilgstoši  saglabāt augstus dzīves standartus. Visciešāk produktivitāte ir saistīta ar  ekonomikas tehnoloģiskām iespējām, bet ir arī citi faktori, kas to nosaka, piemēram, darbinieku zināšanas un prasmes, vietējie resursi, resursu cenas, menedžments, pārdotās produkcijas zīmols u.c. faktori. Ja produktivitāte ir augsta, tad arī uzņēmumu darbiniekiem būs augsti ienākumi. Ja šī likumsakarība netiek ievērota un uz iekšējo pieprasījumu orientētās nozarēs (pārsvarā pakalpojumu nozares) algas aug straujāk,  tad veidojas inflācija un tiek zaudēta konkurētspēja un eksports sarūk. Līdz ar to būtiski ir vērtēt, kā sniegtais valsts atbalsts ietekmē atbalstīto uzņēmumu darba algas, vai ir vērojams to pieaugums. Attiecīgi līdz ar šiem noteikumiem tiek noteikts, ka produktivitātes rādītājs ir tiešā mērā vērtējams ar darba algas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Produktivitātes rādītājs MK noteikumu projekta ietvaros tiek uzskatīts kā sadarbības tīkla dalībnieku nodarbinātu darba algu pieaugums gadā pirms lēmuma par atbalsta piešķiršanu un 5 gadu laikā pēc sadarbības tīkla dalībnieka noslēguma pārskata iesniegšanas - vai, saņemot atbalstu, sadarbības tīkla dalībnieka nodarbinātajiem (gan projekta ietvaros piesaistītā personāla, gan kopējais darbinieku skaitam) tiek palielināts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mazā un atvērtā ekonomikā produktivitāte ir atkarīga no eksportējamās produkcijas pievienotās vērtības. Tieši eksporta preces nosaka mūsu konkurētspēju starptautiskos tirgos t.i., vai mūsu ekonomika spēj pelnīt, balstoties uz augstām tehnoloģijām. Eksporta apjoma pieaugumu nosaka ar šādu formulu: komersanta eksporta apjoms pie projekta pieteikuma iesniegšanas pret komersanta eksporta apjomu piecu gadu griezumā pēc sadarbības tīkla dalībnieka noslēguma pārskata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sadarbības tīkls, izmantojot šādu formulas, nosaka katra sadarbības tīkla dalībnieka eksporta apjoma un produktivitātes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noteikts, ka sadarbības tīkls līdz ar projekta pieteikuma iesniegšanu apliecina, ka saņemtais atbalsts tiks vērsts uz eksporta apjoma un produktivitātes kāpināšanu sadarbības tīkla dalībnieka līmenī piecu gadu laikā pēc sadarbības tīkla dalībnieka noslēguma pārskata iesniegšanas. Līdz ar to sadarbības tīkls pēc sadarbības tīkla dalībnieka noslēguma pārskata iesniegšanas un piecus gadus pēc tā pārbauda sadarbības tīkla dalībnieka eksporta apjoma un produktivitātes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tīklam apliecinājumā par dalību projektā, ja sadarbības tīkla dalībnieks ir sadarbības tīkla biedrs vai līgumā, ja sadarbības tīkla dalībnieks nav sadarbības tīkla biedrs jāparedz atruna, ka sadarbības tīkla dalībnieks piecu gadu laikā sniedz informāciju sadarbības tīklam par eksporta apjoma un produktivitātes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noteikts, ka sadarbības tīkls, kas ir finansējuma saņēmēja, pēc atbildīgās iestādes pieprasījuma 10 darbdienu laikā atbildīgajai iestādei ir jāiesniedz informācija par atbalstu saņēmušo komersantu eksporta apjoma un produktivitātes pieaugumu, vienlaikus sniedzot informāciju par to, vai ir šie uzkrātie rādītāji sasniedz vismaz 10% atbalstītajos komersantos.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rādītāji ir būtiski, lai novērtētu atbalsta programmas rādītāju ietekmi uz NIP2027 noteiktajiem mērķiem un Viedās specializācijas stratēģijas īstenošanu. Šo rādītāju noteikšana un uzraudzība ir nepieciešama analītikas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Komercdarbības atbalsta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līdz ar projekta iesnieguma iesniegšanu iesniedz tā izstrādātas vadlīnijas, kādā tas nodrošinās komercdarbības atbalsta sniegšanu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dalībnieki sadarbības tīklam iesniedz apliecinājumu par dalību projektā, savukārt, sadarbības tīkla dalībnieki, kuri nav biedri paraksta līgumu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sadarbības tīkla dalībniekiem pirms </w:t>
      </w:r>
      <w:r w:rsidR="00000000" w:rsidRPr="00000000" w:rsidDel="00000000">
        <w:rPr>
          <w:i w:val="1"/>
          <w:rtl w:val="0"/>
        </w:rPr>
        <w:t xml:space="preserve">de minimis</w:t>
      </w:r>
      <w:r w:rsidR="00000000" w:rsidRPr="00000000" w:rsidDel="00000000">
        <w:rPr>
          <w:rtl w:val="0"/>
        </w:rPr>
        <w:t xml:space="preserve"> atbalsta piešķiršanas pārbauda, vai plānotais </w:t>
      </w:r>
      <w:r w:rsidR="00000000" w:rsidRPr="00000000" w:rsidDel="00000000">
        <w:rPr>
          <w:i w:val="1"/>
          <w:rtl w:val="0"/>
        </w:rPr>
        <w:t xml:space="preserve">de minimis</w:t>
      </w:r>
      <w:r w:rsidR="00000000" w:rsidRPr="00000000" w:rsidDel="00000000">
        <w:rPr>
          <w:rtl w:val="0"/>
        </w:rPr>
        <w:t xml:space="preserve"> atbalsts kopā ar iepriekšējos trīs gados no atbalsta piešķiršanas dienas saņemto </w:t>
      </w:r>
      <w:r w:rsidR="00000000" w:rsidRPr="00000000" w:rsidDel="00000000">
        <w:rPr>
          <w:i w:val="1"/>
          <w:rtl w:val="0"/>
        </w:rPr>
        <w:t xml:space="preserve">de minimis</w:t>
      </w:r>
      <w:r w:rsidR="00000000" w:rsidRPr="00000000" w:rsidDel="00000000">
        <w:rPr>
          <w:rtl w:val="0"/>
        </w:rPr>
        <w:t xml:space="preserve"> atbalstu viena vienota uzņēmuma līmenī nepārsniedz Eiropas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kā finansējuma saņēmējs, ir atbildīgs par projekta īstenošanu. Sadarbības tīkla projektu īstenošanas laiks ir līdz 2029. gada 31. decembrim. Projekta īstenošanas ietvaros sadarbības tīkla dalībnieki var mainīties, sadarbības tīkls var pieaicināt jaunus sadarbības tīkla dalībniekus, sadarbības tīkla dalībniekiem jābūt Uzņēmumu reģistrā reģistrētiem komersantiem.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lēmumu par </w:t>
      </w:r>
      <w:r w:rsidR="00000000" w:rsidRPr="00000000" w:rsidDel="00000000">
        <w:rPr>
          <w:i w:val="1"/>
          <w:rtl w:val="0"/>
        </w:rPr>
        <w:t xml:space="preserve">de minimis</w:t>
      </w:r>
      <w:r w:rsidR="00000000" w:rsidRPr="00000000" w:rsidDel="00000000">
        <w:rPr>
          <w:rtl w:val="0"/>
        </w:rPr>
        <w:t xml:space="preserve"> atbalsta piešķiršanu saskaņā ar Komisijas regulas Nr. 2023/2831 7. panta 3. punktu un 8. pantu var pieņemt līdz šīs Komisijas regulas darbības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tiek noteikts, ka sadarbības iestādes lēmums par sadarbības tīkla apstiprināšanu ir lēmums, kas paredz publiskā finansējuma sadali. Attiecīgi ar šo tiek noteikts, ka amatpersonas statuss tiek noteikts sadarbības iestādes amatpersonām. Savukārt attiecībā uz sadarbības tīklu, lēmumu pieņemšanas process pēc līguma slēgšanas ar sadarbības iestādi ir iekšējā procedūra, un tā paredz noteiktu kārtību, kādā tiek sasniegti projekta mērķi un sasniedzamie rādītāji. Sadarbības tīkls izvērtē sadarbības tīkla dalībnieka atbilstību Komisijas regulai Nr. 2023/2831  un pieņem lēmumu par komercdarbības atbalsta piešķiršanu. Par atbalsta piešķiršanas dienu uzskatāma diena, kad sadarbības tīkls ir pieņēmis lēmumu par komercdarbības atbalsta piešķiršanu sadarbības tīkla dalībniekam. Lēmuma pieņemšanas brīdis ir sadarbības iestādes un sadarbības tīkla līguma slēgšanas diena.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pasākuma ietvaros sadarbības tīkls nodrošinātu demarkācijas principa ievērošanu un, lai sadarbības tīkla dalībnieks par vienām un tām pašām izmaksām nesaņem atbalstu, tiks nodrošināta informācijas apmaiņa par piešķirto atbalstu. Visos sadarbības tīkla dalībnieku pieteikumos tiks iestrādāta sadaļa par kumulatīvo atbalstu, kurā sadarbības tīkla dalībnieks norādīs projektus, kuros saņemtais vai plānotais valsts vai cita veida atbalsts tiks kumulēts ar konkrētā pieteikuma pieprasīto finansējumu. Kā arī vienotajā </w:t>
      </w:r>
      <w:r w:rsidR="00000000" w:rsidRPr="00000000" w:rsidDel="00000000">
        <w:rPr>
          <w:i w:val="1"/>
          <w:rtl w:val="0"/>
        </w:rPr>
        <w:t xml:space="preserve">de minimis</w:t>
      </w:r>
      <w:r w:rsidR="00000000" w:rsidRPr="00000000" w:rsidDel="00000000">
        <w:rPr>
          <w:rtl w:val="0"/>
        </w:rPr>
        <w:t xml:space="preserve"> atbalsta uzskaites sistēmā, vērtējot atbalsta piešķiršanu pārliecinās, vai konkrētajām darbībām par vienām un tām pašām izmaksām atbalsts jau nav saņemts.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nedrīkst vienlaicīgi īstenot projektu šī pasākuma ietvaros un Eiropas Savienības kohēzijas politikas programmas 2021.–2027.gadam 1.2. prioritārā virziena “Atbalsts uzņēmējdarbībai” 1.2.3. specifikā atbalsta mērķa “Veicināt ilgtspējīgu izaugsmi, konkurētspēju un darba vietu radīšanu MVU, tostarp ar produktīvām investīcijām” 1.2.3.6. pasākuma “Tūrisma produktu attīstības programma” un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ietvaros. Sadarbības iestāde nodrošina demarkāciju un dubultā finansējuma risku novēršanu projekta ietvaros, atbilstoši Kohēzijas politikas fondu vadības informācijas sistēmā (turpmāk - Vadības informācijas sistēma) pieejamai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pasākuma īstenošanā izvairītos no dubultā finansējuma situāciju ar Latvijas Investīciju un attīstības aģentūras (turpmāk – LIAA) organizētajām dalībām izstādēs, sadarbības tīklam ir pienākums par izmaksām, kas saistītas ar dalību starptautiskajās izstādēs ārvalstīs, ne vēlāk kā 2 mēnešus pirms izstādes sākuma dienas, rakstiski informē LIAA, sniedzot informāciju par plānotajām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izvērtē sadarbības tīklu pēc Fondu vadības likuma 22. pantā noteiktajiem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izslēgšanas nosacījumu kontrole tiek veikta, tostarp pārbaudot attiecīgās personas sodāmību Iekšlietu ministrijas Informācijas centra pārziņā esošajā valsts informācijas sistēmā “Sodu reģistrs” (saņemot informāciju izziņas veidā) saskaņā ar zemāk norādītajām normām. Pēc informācijas sistēmas saņemšanas no valsts informācijas sistēmas “Sodu reģistrs”, sadarbības iestāde sadarbības tīklam un sadarbības tīkls sadarbības tīkla dalībniekiem informāciju par Fondu vadības likuma 22. panta pirmās daļas 2. punktā noteiktajiem izslēgšanas nosacījumiem pārbauda Valsts ieņēmumu dienestā (turpmāk – VID) un Valsts darba inspekcijā. Informācija attiecībā uz konkurences tiesību pārkāpumu izņēmumu gadījumu, kad attiecīgā institūcija, konstatējot konkurences tiesību pārkāpumu, par sadarbību iecietības programmas ietvaros projekta iesniedzēju ir atbrīvojusi no naudas soda vai naudas sodu samazinājusi, ir publiski pieejama un pārbaudāma Konkurences padomes tīmekļvietnē sadaļā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06"/>
        <w:gridCol w:w="3068"/>
        <w:gridCol w:w="2916"/>
        <w:tblGridChange w:id="0">
          <w:tblGrid>
            <w:gridCol w:w="3206"/>
            <w:gridCol w:w="3068"/>
            <w:gridCol w:w="291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 pārbaudāmās personas valdes vai padomes loceklis, prokūrists vai persona, kura ir pilnvarota pārstāvēt pārbaudāmo personu darbībās, kas saistītas ar filiāli</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1</w:t>
            </w:r>
            <w:r w:rsidR="00000000" w:rsidRPr="00000000" w:rsidDel="00000000">
              <w:rPr>
                <w:sz w:val="24"/>
                <w:rtl w:val="0"/>
              </w:rPr>
              <w:t xml:space="preserve"> pants. Terorisms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2</w:t>
            </w:r>
            <w:r w:rsidR="00000000" w:rsidRPr="00000000" w:rsidDel="00000000">
              <w:rPr>
                <w:sz w:val="24"/>
                <w:rtl w:val="0"/>
              </w:rPr>
              <w:t xml:space="preserve"> pants. Terorisma finansēšana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3</w:t>
            </w:r>
            <w:r w:rsidR="00000000" w:rsidRPr="00000000" w:rsidDel="00000000">
              <w:rPr>
                <w:sz w:val="24"/>
                <w:rtl w:val="0"/>
              </w:rPr>
              <w:t xml:space="preserve">  pants. Teroristu grupa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4 </w:t>
            </w:r>
            <w:r w:rsidR="00000000" w:rsidRPr="00000000" w:rsidDel="00000000">
              <w:rPr>
                <w:sz w:val="24"/>
                <w:rtl w:val="0"/>
              </w:rPr>
              <w:t xml:space="preserve">pants. Personas vervēšana, apmācīšana un apmācīšanās terorismam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5</w:t>
            </w:r>
            <w:r w:rsidR="00000000" w:rsidRPr="00000000" w:rsidDel="00000000">
              <w:rPr>
                <w:sz w:val="24"/>
                <w:rtl w:val="0"/>
              </w:rPr>
              <w:t xml:space="preserve"> pants. Ceļošana terorisma nolūkā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6</w:t>
            </w:r>
            <w:r w:rsidR="00000000" w:rsidRPr="00000000" w:rsidDel="00000000">
              <w:rPr>
                <w:sz w:val="24"/>
                <w:rtl w:val="0"/>
              </w:rPr>
              <w:t xml:space="preserve"> pants. Terorisma attaisnošana, aicinājums uz terorismu un terorisma draudi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w:t>
            </w:r>
            <w:r w:rsidR="00000000" w:rsidRPr="00000000" w:rsidDel="00000000">
              <w:rPr>
                <w:sz w:val="24"/>
                <w:vertAlign w:val="superscript"/>
                <w:rtl w:val="0"/>
              </w:rPr>
              <w:t xml:space="preserve">1</w:t>
            </w:r>
            <w:r w:rsidR="00000000" w:rsidRPr="00000000" w:rsidDel="00000000">
              <w:rPr>
                <w:sz w:val="24"/>
                <w:rtl w:val="0"/>
              </w:rPr>
              <w:t xml:space="preserve"> pants. Noziedzīga organizācija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w:t>
            </w:r>
            <w:r w:rsidR="00000000" w:rsidRPr="00000000" w:rsidDel="00000000">
              <w:rPr>
                <w:sz w:val="24"/>
                <w:vertAlign w:val="superscript"/>
                <w:rtl w:val="0"/>
              </w:rPr>
              <w:t xml:space="preserve">1</w:t>
            </w:r>
            <w:r w:rsidR="00000000" w:rsidRPr="00000000" w:rsidDel="00000000">
              <w:rPr>
                <w:sz w:val="24"/>
                <w:rtl w:val="0"/>
              </w:rPr>
              <w:t xml:space="preserve"> pants. Cilvēku tirdzniecība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pants. Krāpšana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w:t>
            </w:r>
            <w:r w:rsidR="00000000" w:rsidRPr="00000000" w:rsidDel="00000000">
              <w:rPr>
                <w:sz w:val="24"/>
                <w:vertAlign w:val="superscript"/>
                <w:rtl w:val="0"/>
              </w:rPr>
              <w:t xml:space="preserve">1</w:t>
            </w:r>
            <w:r w:rsidR="00000000" w:rsidRPr="00000000" w:rsidDel="00000000">
              <w:rPr>
                <w:sz w:val="24"/>
                <w:rtl w:val="0"/>
              </w:rPr>
              <w:t xml:space="preserve"> pants. Krāpšana automatizētā datu apstrādes sistēmā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 pants. Apdrošināšanas krāpšana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 pants.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184.pants trešā daļa. Izspiešana organizētā grupā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w:t>
            </w:r>
            <w:r w:rsidR="00000000" w:rsidRPr="00000000" w:rsidDel="00000000">
              <w:rPr>
                <w:sz w:val="24"/>
                <w:vertAlign w:val="superscript"/>
                <w:rtl w:val="0"/>
              </w:rPr>
              <w:t xml:space="preserve">1</w:t>
            </w:r>
            <w:r w:rsidR="00000000" w:rsidRPr="00000000" w:rsidDel="00000000">
              <w:rPr>
                <w:sz w:val="24"/>
                <w:rtl w:val="0"/>
              </w:rPr>
              <w:t xml:space="preserve"> pants. Preču un vielu, kuru aprite ir aizliegta vai speciāli reglamentēta, pārvietošana pāri Latvijas Republikas valsts robežai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pants. Noziedzīgi iegūtu līdzekļu legalizēšana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 pants. Neatļauta labumu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pants. Komerciālā uzpirkšana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pants. Izvairīšanās no nodokļiem un tiem pielīdzināto maksājumu nomaksas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pants. Kukuļņemšana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pants. Kukuļa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 pants Starpniecība kukuļošanā (ja kriminālprocess ierosināts līdz Krimināllikuma grozījumu stāšanās spēkā, t.i. 2022. gada 4. maijam)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 pants. Kukuļdošana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326.pants. Neatļauta piedalīšanās mantiskos darījumos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1</w:t>
            </w:r>
            <w:r w:rsidR="00000000" w:rsidRPr="00000000" w:rsidDel="00000000">
              <w:rPr>
                <w:sz w:val="24"/>
                <w:rtl w:val="0"/>
              </w:rPr>
              <w:t xml:space="preserve"> pants. Tirgošanās ar ietekmi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2</w:t>
            </w:r>
            <w:r w:rsidR="00000000" w:rsidRPr="00000000" w:rsidDel="00000000">
              <w:rPr>
                <w:sz w:val="24"/>
                <w:rtl w:val="0"/>
              </w:rPr>
              <w:t xml:space="preserve"> pants. Prettiesiska labumu pieprasīšana un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3</w:t>
            </w:r>
            <w:r w:rsidR="00000000" w:rsidRPr="00000000" w:rsidDel="00000000">
              <w:rPr>
                <w:sz w:val="24"/>
                <w:rtl w:val="0"/>
              </w:rPr>
              <w:t xml:space="preserve"> pants. Prettiesiska labumu 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nodokļiem un nodevām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142.panta otrā daļa. Informatīvo deklarāciju iesniegšanas termiņu neievērošanu</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pirmā daļa (tostarp jebkurš no minētās daļas punktiem), ja par vertikālo vienošanos, kuras mērķis ir ierobežot pircēja iespēju noteikt tālākpārdošanas cenu, vai horizontālā karteļa vienošanos kā izslēgšanas pamatu no iepirkuma procedūras Sodu reģistrā ir norādījusi Konkurences padome</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w:t>
            </w:r>
            <w:r w:rsidR="00000000" w:rsidRPr="00000000" w:rsidDel="00000000">
              <w:rPr>
                <w:sz w:val="24"/>
                <w:vertAlign w:val="superscript"/>
                <w:rtl w:val="0"/>
              </w:rPr>
              <w:t xml:space="preserve">4</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 vienas vai vairāku personu  nodarbināšanu, ja attiecīgā persona ir tiesīga uzturēties Latvijas Republikā, bet tai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Par vairāk nekā piecu personu nodarbināšanu, ja tās ir tiesīgas uzturēties Latvijas Republikā, bet tām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Par vienas vai vairāku tādu personu (līdz piecām personām) nodarbināšanu, kuras nav tiesīgas uzturēties Latvijas Republikā.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 pants. Darba līguma nenoslēgšana rakstveida formā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un vielu, kuru aprite ir aizliegta vai speciāli reglamentēta, pārvietošana pāri Latvijas Republikas valsts robežai, minētais attiecināms uz sadarbības tīkla dalībnieku, kas, atbilstoši Krimināllikuma 190.</w:t>
      </w:r>
      <w:r w:rsidR="00000000" w:rsidRPr="00000000" w:rsidDel="00000000">
        <w:rPr>
          <w:vertAlign w:val="superscript"/>
          <w:rtl w:val="0"/>
        </w:rPr>
        <w:t xml:space="preserve">1</w:t>
      </w:r>
      <w:r w:rsidR="00000000" w:rsidRPr="00000000" w:rsidDel="00000000">
        <w:rPr>
          <w:rtl w:val="0"/>
        </w:rPr>
        <w:t xml:space="preserve"> pantam, veicis neatļautas darbības un ticis sodīts, taču neaizliedz veikt aktivitātes, ja sadarbības tīkla dalībnieks saņēmis atļauju aktivitāšu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pasākuma īstenošanas laikā rodas neattiecināmie izdevumi vai sadārdzinās izmaksas, sadarbības tīkls apņemas tos segt no paša rīcībā esošajiem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un sadarbības tīkla dalībnieks projekta īstenošanai nepieciešamo preču un pakalpojumu iegādi veic saskaņā ar normatīvajiem aktiem iepirkuma procedūras jomā,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projekta īstenošanas un projekta vadības personāls, kā arī personas, kuras pieņem lēmumu par komercdarbība atbalsta piešķiršanu sadarbības tīkla dalībniekam, pirms vērtēšanas procesa uzsākšanas paraksta 2. pielikumā esošo objektivitātes, konfidencialitātes un interešu konflikta neesamības apliecinājumu. Apliecinājumu paraksta atbilstoši Eiropas Parlamenta un Padomes 2018. gada 18. jūlija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pantam. Apliecinājumu sadarbības tīkls glabā atbilstoši Komisijas regulas Nr. 2018/1046 šo noteikumu 75.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principa “nenodarīt būtisku kaitējumu” izvērtēšanu, kuru attiecībā pret sadarbības tīkla dalībnieku veic sadarbības tīkls. Noteikumu projekta ietvaros nav atļautas projekta darbības, kas var radīt būtisku kaitējumu videi. Atļaujas, kas saistītas ar principa “nenodarīt būtisku kaitējumu” ietvaros noteiktajiem vides mērķiem, izsniedz atbildīgā valsts iestāde, kas nodrošina uzraudzību par vides prasību ievērošanu, piemēram, Valsts vides dienests, kompetences ietvaros veicot komersanta atbilstības izvērtēšanu atļaujas saimnieciskās darbības veikšanai saņemšanai. Tādējādi, sadarbības tīkls pirms atbalsta piešķiršanas sadarbības tīkla dalībniekam, izvērtēšanas ietvaros attiecībā uz principa “nenodarīt būtisku kaitējumu” ievērošanu nepieciešams pārliecināties, vai darbība ir saistīta ar kādu no vides mērķiem un, ja darbība ir saistīta ar kādu no tiem, veicot pārbaudi Valsts vides dienesta publiskajā datu bāzē par spēkā esošas atļaujas 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iestādei ir tiesības vienpusēji atkāpties no noslēgtā līguma par atbalsta sniegšanu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tīkls nepilda vienošanos par atbalsta saņemšanu, tai skaitā netiek ievēroti noteiktie termiņi, vai ir iestājušies citi apstākļi, kas negatīvi ietekmē vai var ietekmēt specifiskā atbalsta mērķa, tā iznākuma vai rezultāta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saņēmējs apzināti ir sniedzis sadarbības iestādei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gadījumos, ko paredz vienošanās par atbalsta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sadarbības tīklam tiek sniegts granta veidā, lai nodrošinātu finansējumu sadarbības tīklu dalībnieku internacionalizācijai un sadarbības veicināšanai starp privāto, publisko un pētniecības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sadarbības tīkla dalībniekiem atbalsts tiek sniegts nefinanšu atbalsta veidā, lai sekmētu to sadarbību ar pētniecības un zināšanu izplatīšanas organizācijām, organizētu pieredzes apmaiņas un zināšanu pārneses pasākumu, nodrošinātu dalību starptautiskos pasākumos un izstādēs, kā arī veicinātu jaunu produktu mērogošanu un izcilību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tīklam projekta īstenošanas laikā ir pienākums nodrošināt, ka visā projekta īstenošanas laikā tas pārstāv ne mazāk kā 30 savstarpēji nesaistītus sadarbības tīkla dalībniekus. Sadarbības tīklam ir pienākums uzkrāt un, pēc pieprasījuma, reizi gadā iesniegt atbildīgajai iestādei informāciju par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sniegts atbalsts atbalstāmajām darbībām, kas uzskaitītas šo noteikumu 28. punktā, tās īsteno sadarbības tīkls vai sadarbības tīkla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netiktu sniegts atbalsts kādai no neatbalstāmajām darbībām, kas minētas šo noteikumu 63.punktā, pārbaudes tiek veiktas, gan sadarbības tīkla, gan sadarbības tīkla dalībnieka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tīklam ir pienākums izstrādāt </w:t>
      </w:r>
      <w:r w:rsidR="00000000" w:rsidRPr="00000000" w:rsidDel="00000000">
        <w:rPr>
          <w:b w:val="1"/>
          <w:rtl w:val="0"/>
        </w:rPr>
        <w:t xml:space="preserve">iekšējo kontroles sistēmu</w:t>
      </w:r>
      <w:r w:rsidR="00000000" w:rsidRPr="00000000" w:rsidDel="00000000">
        <w:rPr>
          <w:rtl w:val="0"/>
        </w:rPr>
        <w:t xml:space="preserve"> un, ja tā nav izstrādāta kopā ar projekta iesniegumu, iesniegt apliecinājumu par to, ka tiks izstrādāta atbilstoša iekšējā kontroles sistēma un ne vēlāk kā mēnesi pēc līguma parakstīšanas, bet ne vēlāk kā līdz pirmajam maksājuma pieprasījumam, iesniegt sadarbības iestādei iekšējās kontroles sistēmas dokumentāciju, ietverot tajā vismaz: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pasākumus interešu konflikta riska kontrolei</w:t>
      </w:r>
      <w:r w:rsidR="00000000" w:rsidRPr="00000000" w:rsidDel="00000000">
        <w:rPr>
          <w:rtl w:val="0"/>
        </w:rPr>
        <w:t xml:space="preserve"> (preventīvus pasākumus un konstatēšanas pasākumus interešu konflikta riska kontrolei, t. sk. paziņošanas procedūru par iespējamām interešu konflikta situācijām un to labošanas pasākumus) tai skaitā ietverot informāciju par interešu konflikta novēršanu saskaņā ar Komisijas regulas Nr. 2018/1046 61. pantu. Vienlaikus, Komisijas regula Nr. 2018/1046 61. panta 3. punkts  nosaka, ka  interešu konflikts ir  finanšu dalībnieka vai citas personas funkcijas neatkarīgi un objektīvi traucē pildīt iemesli, kas saistīti ar ģimeni, emocionālajām saitēm, politisko vai nacionālo piederību, ekonomiskajām interesēm vai jebkādām citām tiešām vai netiešām personīgajām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interešu konflikta riska kontroli, sadarbības tīkls izstrādā iekšējās kontroles sistēmas aprakstu, kurā ir atrunāta vismaz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pārbaudes apraksts, visā lēmumu pieņemšanas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procedūras aprakstu, kā vērtēšanas procesā iesaistītie sadarbības tīkla dalībnieki ir atturējušies no citu sadarbības tīkla dalībnieku iesnieguma 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pārbauda, vai sadarbības tīkls ir parakstījis apliecinājumu “Objektivitātes, konfidencialitātes un interešu konflikta neesamības apliecinājumi”;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vai procedūra, kā paredzēts novērst interešu konflikta riska iestāšanos vai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procedūras, kas atrunā iekšējo kārtību šajā posmā, kā tiek dokumentēts process (rakstiski), lai nodrošinātu informācijas pierādāmību;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procedūru, kā tiek pārbaudīta interešu konflikta definīcija sadarbības tīklam, kas atrunā vismaz šādus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iesniegts tā pārstāvētā sadarbības tīkla dalībnieka vai iestādes projekts, kurā plānota attiecīgā sadarbības tīkla dalībnieka vai iestādes 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sadarbības tīkla dalībnieks vērtē cita sadarbības tīkla dalībnieka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citi objektīvi pamatoti un saskaņā ar Komisijas regulas Nr. 2018/1046 61. pantā noteikto regulējumu attiecināmi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procedūras apraksts, par kārtību, kādā tiek piemērotas korektīvās darbības pret sadarbības tīkla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krāpšanas un korupcijas risku novēršanas mehānismu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aprakstījis, ka tas neatbilst izslēgšanas kritērijiem. Sadarbības tīkls pieprasa izrakstu no Sodu reģistra un uzņēmumu reģistra par sadarbības tīkla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pastāvošos kontroles mehānismus, Sadarbības tīkls identificē korupcijas riskus, izvērtē to iestāšanās iespējamību (varbūtību) un ietekmi iestāšanās gadījumā (radītās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funkcijām, darbības jomām vai procesiem Sadarbības tīkls identificē korupcijas risku, izvērtē korupcijas riska iestāšanās iespējamību jeb varbūtību un tā ietekmi iestāšanās gadījumā jeb radītās sekas, ņemot vērā pastāvošos kontroles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risku identificēšanai var izmantot šādus informācijas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iekšējie un ārējie normatīvie akti, kā piemēram, Par Korupcijas novēršanas un apkarošanas pasākumu plānu 2023.–2025. gadam, Vadlīnijas par iekšējās kontroles sistēmas pamatprasībām korupcijas un interešu konflikta riska novēršanai publiskas personas institūcijā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iekšējā audita ziņojumos konstatētie trūkumi, pārkāpumi un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iekšējās kontroles un pārbaudes laikā konstatētie pārkāpumi, trūkumi un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iedzīvotāju sūdzības, aptaujas;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nodarbināto (t.sk., vadītāju) sniegtā informācija (aptaujas, 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iestāžu revīzijas un auditu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dienesta pārbaužu un disciplinārlietu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ārējā informācija ‒ informācija vai komentāri plašsaziņas 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kriminālprocesa virzītāja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risku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prettiesiska labuma pieprasīšana un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neatļauta dāvanu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neatļauta informācijas izmantošana ar mērķi gūt labumu sev vai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prettiesiska rīcība publiskajos iepirkumos ar mērķi gūt labumu sev vai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ļaunprātīga dienesta stāvokļa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sadarbības tīkla darbinieka funkciju izpilde interešu konflikta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neatļauta rīcība ar Sadarbības tīkla vai tai lietošanā, glabāšanā nodotu mantu vai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apzināta informācijas slēpšana savās vai citas personas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nodarbinātajam noteikto pienākumu apzināta neveikšana vai nolaidīga veikšana savās vai citas personas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nodarbinātā ietekmēšana nolūkā panākt personai labvēlīga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nevienlīdzīga attieksme lēmumu pieņemšanā attiecībā pret citiem darbiniekiem vai pretendentiem uz amata vietu Sadarbības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un citi Sadarbības tīklā identificētie korupcijas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iekšējās informācijas aprites un komunikācijas pasākumus</w:t>
      </w:r>
      <w:r w:rsidR="00000000" w:rsidRPr="00000000" w:rsidDel="00000000">
        <w:rPr>
          <w:rtl w:val="0"/>
        </w:rPr>
        <w:t xml:space="preserve">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noteikta iekšējā komunikācija, komunikācijas kanāli (horizontālie, vertikālie), komunikācijas kanālu uzraudzība un paredzēta darbinieku apmācība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darbinieks vai dalībnieks rakstiski informē sadarbības tīkla vadītāju par interešu konflikta, krāpšanas un korupcijas riska iestāšanās varbūtību vai esamību. Sadarbības tīkla vadītājs pieņem lēmumu par darbinieka, kurš ir nonācis interešu konflikta situācijā, funkcijas vai uzdevuma izpildes nodošanu citam darbiniekam.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ētikas kodeksu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Ētikas kodeksa uzdevums ir noteikt darbinieku ētikas principus, ar tiem saistītās tiesības, pienākumus, atbildību un ētiskas uzvedības standartus. Ētikas kodekss nav visaptverošs vērtību, ētikas principu un uzvedības normu apraksts. Savā personiskajā un profesionālajā rīcībā darbinieki ievēro arī vispārpieņemtās vērtības, ētikas principus un uzvedības normas. Lai nodrošinātu kontroles vides izveidošanu, Sadarbības tīkla vadītājs apstiprina ētikas principus, kas ir saistoši visiem Sadarbības tīkla nodarbinātajiem. Sadarbības tīkla ētikas principi tiek noteikti Ētikas kodeksā vai citā iekšējā normatīvajā aktā, nodrošinot to pieejamību Sadarbības tīkla darbiniekiem. Ētikas kodeksa piemēri – Latvijas Republikas Uzņēmumu reģistra ētikas kodekss, Izglītības un zinātnes ministrijas ētikas kodekss.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Procedūras apraksts, kurā aprakstīti darbinieku profesionālās ētikas pamatprincipi, darbinieku uzvedības pamatprincipi, darbinieku ētikas pamatprincipi komunikācijā ar lobētājiem, ētikas kodeksa normu pārkāpumu izskatīšanu. Nosaka ētikas pamatprincipus (piemēram, godīgums, taisnīgums, objektivitāte, neatkarība, profesionalitāte, atklātība), kas veicina nodarbināto likumīgu un godprātīgu darbību sabiedrības interesēs un nepieļauj Interešu konflikta likumā noteikto normu pārkāpumus un koruptīvas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kārtību, kā darbiniekiem ir jārīkojas gadījumā, ja tie vēlas ziņot par iespējamiem pārkāpumiem</w:t>
      </w:r>
      <w:r w:rsidR="00000000" w:rsidRPr="00000000" w:rsidDel="00000000">
        <w:rPr>
          <w:rtl w:val="0"/>
        </w:rPr>
        <w:t xml:space="preserve"> (tai skaitā iespējamām koruptīvām darbībām), ietverot pasākumus, lai nodrošinātu ziņotāja anonimitāti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kā un kādā veidā (rakstveidā, elektroniskā veidā vai ieviešot ziņošanas kasti utt.) darbiniekam jārīkojas, ja tiek konstatēs interešu konflikta, krāpšanas, korupcijas, dubultā finansējuma, ētikas kodeksa, administratīvo vai kriminālpārkāpumu vai aizliegtās vienošanās iestāšanās varbūtība, darbinieks var iesniegt ziņojumu par iespējamiem citu nodarbināto pārkāpumiem, vienlaikus saglabājot ziņotāja anonimitāti.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pasākumus aizliegtās vienošanās riska kontrolei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Konkurences likuma 11. panta 1.punkta skaidrojumam  aizliegtā vienošanās ir tiešu vai netiešu cenu vai tarifu noteikšana jebkādā veidā vai to veidošanas noteikumi, ražošanas vai realizācijas apjoma, tirgus, tehniskās attīstības vai investīciju ierobežošana vai kontrole, tirgus sadale, nevienādu noteikumu piemērošana ekvivalentos darījumos ar trešajām personām, darbība (bezdarbība), kuru dēļ cits tirgus dalībnieks ir spiests atstāt kādu konkrēto tirgu vai tiek apgrūtināta potenciāla tirgus dalībnieka iekļūšana kādā konkrētajā tirgū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kārtību,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darbinieku informēšanu par aizliegtās vienošanās būtību, atbilstoši Konkurences likuma 11. panta definīcijai un apliecinājuma “Objektivitātes, konfidencialitātes un interešu konflikta neesamības apliecinājums” parakstīšanu personām, kas pieņem lēmumu, par komercdarbības atbalsta piešķiršanu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procedūras apraksts kā sadarbības tīkls izvērtē risku par aizliegto vienošanos esamību starp sadarbības tīkla dalībniekiem, tai skaitā kā tiek izvērtēta publiski pieejamā informāciju par noslēgtajiem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kā sadarbības tīkla dalībniekam jārīkojas, ja tiek konstatēs interešu konflikta, krāpšanas, korupcijas, dubultā finansējuma, ētikas kodeksa, administratīvo vai kriminālpārkāpumu vai aizliegtās vienošanās iestāšanās varbūtība, paredzot iespēju iesniegt iesniegumu sadarbības tīkla vadītājam par konstatētajiem riskiem, norādot informāciju, kas varētu būt būtiska problēmas identificēšanai un liecināt par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procedūras aprakstu, kas novērš un identificē dubultā finansējuma situāciju pret citiem finanšu instrumentiem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procedūras aprakstu kā sadarbības tīkls pārbauda dubultā finansējuma neesamību pret: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Savienības struktūrfondu un Kohēzijas fonda 2014.–2020.gada plānošanas perioda darbības programmu “Izaugsme un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citiem finanšu instrumentiem. Dubultā finansējuma novēršanu jānodrošina ne tikai pret ES finanšu instrumentiem, bet arī citiem finanšu instrumentiem, kā piemēram, valsts vai pašvaldības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ziņošanas mehānismu kompetentajām iestādēm par potenciāliem administratīviem vai kriminālpārkāpumiem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Procedūras aprakstu kā sadarbības tīkla darbiniekam un sadarbības tīkla dalībniekam jārīkojas, ja tiek konstatēs interešu konflikta, krāpšanas, korupcijas, dubultā finansējuma, ētikas kodeksa, administratīvo vai kriminālpārkāpumu vai aizliegtās vienošanās iestāšanās varbūtība, paredzot iespēju iesniegt iesniegumu sadarbības tīkla vadītājam par konstatētajiem riskiem, norādot informāciju, kas varētu būt būtiska problēmas identificēšanai un liecināt par tiesību pārkāpumu, piemēram, par komercdarbības atbalsta pārkāpumiem ziņo sadarbības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iekšējās kontroles sistēmas detalizēts apraksts mazina nelikumīgu darbību iespējamību un citu risku iestāšanos pasākuma ieviešanā. Minimālo prasību izstrāde atvieglo iekšējās kontroles sistēmas izveidi un veido vienotu izpratni sadarbības tīkliem. Izstrādātās prasības mazinās administratīvo slogu gan sadarbības tīklam izstrādājot iekšējo kārtību, gan sadarbības iestādei veicot sniegtās informācijas atbilstības pārbaudes, vienlaikus sniegs juridisku skaidrību, sniedzot informāciju sadarbības iestādei pie projekta pieteikuma.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Vienkāršoto izmaksu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izstrādās un saskaņos līdz projekta iesniegšanai sadarbības iestādē vienkāršoto izmaksu metodiku, kas saistīta ar finanšu atbalsta sniegšanu sadarbības tīkla dalībnieku augsti kvalificēta darba spēka atbalstam (attiecīgi 38.punktā norādītajām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tiek nodrošināts sadarbības tīkla dalībnieku līmenī, 1.2.1.1. pasākumā neizpildās obligāta Eiropas Parlamenta un Padomes 2021. gada 24. jūnija Regulas (ES) Nr. 2021/1060 (turpmāk – regula Nr. 2021/1060) 53.panta 2. punkta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Nr.2021/1060 55. panta 1. punktu tiek noteikts, ka sadarbības tīkla tiešājām personāla izmaksām (mēnešalga, atvaļinājuma pabalsts, naudas balvas, novērtēšana, veselības apdrošināšanas polises prēmija, VSAOI) tiek piemērota vienotā likme 20%  no  tiešajām attiecināmajām izmaksām, neieskaitot personāla izmaksas (MK noteikumu projekta 31.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Vienkāršoto izmaksu aprēķini ir dokumentāli pierādāmi un pārbaudāmi, tie ir balstīti Valsts un pašvaldību institūciju amatpersonu un darbinieku atlīdzības likuma 4.2 pantu un 3. pielikumu un Ministru kabineta 2022. gada 21. jūnija noteikumu Nr. 361 “Noteikumi par valsts institūciju amatpersonu un darbinieku darba samaksu un tās noteikšanas kārtību, kā arī par profesijām un specifiskajām jomām, kurām piemērojams tirgus koeficients” 6. un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Atalgojuma izmaksas nav noteiktas pārmērīgi augstas vai zemas, un tie piemērotas vienādi projekta ietvaros atbilstoši amata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MK noteikumu projekta izstrādes laikā ir informējusi sadarbības tīklus par likmes piemērošanas nosacījumiem, kā arī likmes apmērs ir noteikts MK noteikumu projekta 31. punktā. Attiecīgi vienotās likmes aprēķins sadarbības tīkla personāla izmaksām ir taisnīgs, objektīvs, pārbaudāms un iepriekš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piemērota vienotā likme līdz 20% saskaņā ar regulas Nr.2021/1060 55. panta 1. punktu, ir papildus uzskatāms, ka šādi tiek ievēroti taisnīguma, objektivitātes, pārbaudāmības un iepriekšējās noteiktības pamatprincipi, jo attiecīgie likmes piemērošanas nosacījumi ir iepriekš horizontāli un ar augstāku normatīvo aktu noteikti un zināmi.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iepirkumu izmaksas neietver publiskus piegādes vai pakalpojumu līgumus, kuru vērtība pārsniedz Ministru kabineta 2017.gada 28.februāra noteikumos Nr.105 “Noteikumi par publisko iepirkumu līgumcenu robežvērtībām” noteiktās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braucienu un komandējumu izmaksas, atbilstoši MK noteikumu projekta 28. punkta norādītajam, attiecināmas saskaņā ar normatīvajiem aktiem par kārtību, kādā atlīdzināmi ar komandējumiem un darbinieku darba braucieniem saistītie izdevumi;  iekšzemes komandējumu izmaksas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 Ārvalstu komandējuma izmaksas sedzamas projekta īstenošanas un vadības personālam un sadarbības tīkla darbiniekiem, kas piedalās šo noteikumu 28.3., 28.4., 28.5., 28.6. un 28.7. apakšpunktā minētajos pasākumos vai atbalsta to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pasākuma īstenošanai piemērojamās vadošās un atbildīgās iestādes sagatavotās 2021.-2027.gada plānošanas perioda vienkāršoto izmaksu metodikas, kuras attiecināmas programmas ietvaros, piemēro no to spēkā stāšanās brīža. 1.2.1.1. pasākumā paredzēto atbildīgās iestādes izstrādāto vienkāršoto izmaksu metodiku plānots izstrādāt līdz izsludinātajai projekta atlasei.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(biedrība vai nodibinājums)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uzņēmumiem, nodrošinot valsts atbalsta saņemšanas iespējas, kas nepieciešamas internacionalizācijai un privāto pētniecības un attīstības investīciju apjoma palielināšanos.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uzņēmumiem, nodrošinot valsts atbalsta saņemšanas iespējas, kas nepieciešamas pētniecības, inovāciju un attīstības aktivitāšu veikšanai. MK noteikumu projekta ietvaros plānotie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atbalstīti vismaz 12 projekta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nefinanšu atbalstu saņēmušo komersantu skaits - 400;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nodrošināts eksporta apjoma pieaugums atbalstītajos uzņēmumos divus gadus pēc atbalsta saņemšanas 100 milj.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organizētas 1000 vizītes pie sadarbības partneriem, t.sk., tirdzniecības 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veikti vismaz 60 tirgus pētījumi.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nodrošināts atbalsts Latvijas mazajiem, vidējiem un lieliem uzņēmumiem pētniecības, inovāciju un attīstības aktivitāšu veikšanai, tādējādi stiprinot to konkurētspēju gan vietējā, gan ārvalstu tirgū. Atbalss stiprinās Latvijas uzņēmumus, kas veic saimniecisko aktivitāti šādās viedās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Zināšanu ietilpīga bioekonomika;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Biomedicīna, medicīnas tehnoloģijas, farmācija;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Fotonika un 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Viedā enerģētika un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Informācijas un komunikācijas tehnoloģijas.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pozitīvu ietekmi mazajiem, vidējiem un lieliem uzņēmumiem, nodrošinot valsts atbalsta saņemšanas iespējas, kas nepieciešamas internacionalizācijai un privāto pētniecības un attīstības investīciju apjoma palielināšanai. Pasākuma ietvaros sīkajiem (mikro), mazajiem, vidējiem un lielajiem komersantiem, tai skaitā kapitālsabiedrībām un pētniecības un zināšanu izplatīšanas organizācijām ir iespējams saņemt atbalstu, kas sekmētu sadarbības tīkla dalībnieku eksporta apjoma un eksportspējas palielināšanos.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uzņēmumiem, nodrošinot valsts atbalsta saņemšanas iespējas, kas nepieciešamas internacionalizācijai un privāto pētniecības un attīstības investīciju apjoma palielināšanai. Tiek plānots, ka MK noteikumu projekta ietvaros tiks atbalstīti vismaz 12 projekta pieteikumi, nefinanšu atbalstu saņēmušo komersantu skaits būs vismaz 400, tāpat nodrošināts eksporta apjoma pieaugums atbalstītajos uzņēmumos divus gadus pēc atbalsta saņemšanas 100 milj. euro apmērā, organizētas 1000 vizītes pie sadarbības partneriem, t.sk., tirdzniecības misijas un veikti vismaz 60 tirgus pētījumi.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projekta ietvaros būs iespējas izveidot jaunas darba vietas un saņemt par tām atbalstu, lai nodrošinātu jaunu produktu laišanu tirgū, tā būs pozitīva ietekme uz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16 472,40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Projekta iesniedzējs (biedrība vai nodibinājums)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1 372,70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mēnesis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16 472,40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attiecas uz projekta iesniedzējiem, kas iesniedz projekta iesniegumu sadarbības iestādē. Administratīvo izmaksu pamatojumam tiek ņemti vērā Centrālās statistikas pārvaldes 2022.gada dati "Vidējā neto darba samaksa" - 1372.70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16 472,40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1 347 882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2 114 888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2 299 505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1 347 882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2 114 888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2 299 505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1 347 882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2 114 888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2 299 505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1 347 882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2 114 888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2 299 505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1 347 882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2 114 888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2 299 505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kopējais plānotais finansējums ir 11 611 149 </w:t>
            </w:r>
            <w:r w:rsidR="00000000" w:rsidRPr="00000000" w:rsidDel="00000000">
              <w:rPr>
                <w:sz w:val="24"/>
                <w:i w:val="1"/>
                <w:rtl w:val="0"/>
              </w:rPr>
              <w:t xml:space="preserve">euro </w:t>
            </w:r>
            <w:r w:rsidR="00000000" w:rsidRPr="00000000" w:rsidDel="00000000">
              <w:rPr>
                <w:sz w:val="24"/>
                <w:rtl w:val="0"/>
              </w:rPr>
              <w:t xml:space="preserve">(tai skaitā elastības finansējuma apjoms 1 831 371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(turpmāk – ERAF) finansējums 9 869 476 </w:t>
            </w:r>
            <w:r w:rsidR="00000000" w:rsidRPr="00000000" w:rsidDel="00000000">
              <w:rPr>
                <w:sz w:val="24"/>
                <w:i w:val="1"/>
                <w:rtl w:val="0"/>
              </w:rPr>
              <w:t xml:space="preserve">euro </w:t>
            </w:r>
            <w:r w:rsidR="00000000" w:rsidRPr="00000000" w:rsidDel="00000000">
              <w:rPr>
                <w:sz w:val="24"/>
                <w:rtl w:val="0"/>
              </w:rPr>
              <w:t xml:space="preserve">(tai skaitā elastības finansējuma apjoms 1 556 666 </w:t>
            </w:r>
            <w:r w:rsidR="00000000" w:rsidRPr="00000000" w:rsidDel="00000000">
              <w:rPr>
                <w:sz w:val="24"/>
                <w:i w:val="1"/>
                <w:rtl w:val="0"/>
              </w:rPr>
              <w:t xml:space="preserve">euro</w:t>
            </w:r>
            <w:r w:rsidR="00000000" w:rsidRPr="00000000" w:rsidDel="00000000">
              <w:rPr>
                <w:sz w:val="24"/>
                <w:rtl w:val="0"/>
              </w:rPr>
              <w:t xml:space="preserve">), valsts budžeta finansējums 1 741 673 </w:t>
            </w:r>
            <w:r w:rsidR="00000000" w:rsidRPr="00000000" w:rsidDel="00000000">
              <w:rPr>
                <w:sz w:val="24"/>
                <w:i w:val="1"/>
                <w:rtl w:val="0"/>
              </w:rPr>
              <w:t xml:space="preserve">euro </w:t>
            </w:r>
            <w:r w:rsidR="00000000" w:rsidRPr="00000000" w:rsidDel="00000000">
              <w:rPr>
                <w:sz w:val="24"/>
                <w:rtl w:val="0"/>
              </w:rPr>
              <w:t xml:space="preserve">(tai skaitā elastības finansējums 274 705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kopējais pieejamais finansējums ir 9 779 778 </w:t>
            </w:r>
            <w:r w:rsidR="00000000" w:rsidRPr="00000000" w:rsidDel="00000000">
              <w:rPr>
                <w:sz w:val="24"/>
                <w:i w:val="1"/>
                <w:rtl w:val="0"/>
              </w:rPr>
              <w:t xml:space="preserve">euro</w:t>
            </w:r>
            <w:r w:rsidR="00000000" w:rsidRPr="00000000" w:rsidDel="00000000">
              <w:rPr>
                <w:sz w:val="24"/>
                <w:rtl w:val="0"/>
              </w:rPr>
              <w:t xml:space="preserve">, tai skaitā ERAF finansējums 8 312 810 </w:t>
            </w:r>
            <w:r w:rsidR="00000000" w:rsidRPr="00000000" w:rsidDel="00000000">
              <w:rPr>
                <w:sz w:val="24"/>
                <w:i w:val="1"/>
                <w:rtl w:val="0"/>
              </w:rPr>
              <w:t xml:space="preserve">euro</w:t>
            </w:r>
            <w:r w:rsidR="00000000" w:rsidRPr="00000000" w:rsidDel="00000000">
              <w:rPr>
                <w:sz w:val="24"/>
                <w:rtl w:val="0"/>
              </w:rPr>
              <w:t xml:space="preserve">, valsts budžeta finansējums 1 466 968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kopējā finansējuma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 1 347 882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 2 114 888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2 299 505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 – 1 608 217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 – 1 323 885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2030.g. – 1 175 099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atbildīgā iestāde pieprasīs finansējuma pārdali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 decembra Regula (ES) Nr. 2023/2831 par Līguma par Eiropas Savienības darbību 107. un 108. panta piemērošanu de minimis atbalstam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2018/1046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53.10.1.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2018/1046 132.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13. decembra Regula (ES) Nr. 2023/2831 par Līguma par Eiropas Savienības darbību 107. un 108. panta piemērošanu de minimis atbalstam (turpmāk – Komisijas regula Nr. 2023/2831)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Darba devēju konfederācija, Latvijas Pārtikas uzņēmumu federācija, Latvijas Drošības un aizsardzības industriju federācija, Mašīnbūves un metālapstrādes rūpniecības asociācija, LATVIJAS KOKA BŪVNIECĪBAS KLASTERIS, Latvijas Poligrāfijas uzņēmumu asociācija, Gaujas Nacionālā parka tūrisma biedrība, Zaļo un Viedo Tehnoloģiju Klasteris, AUTO ASOCIĀCIJA, Vieglās rūpniecības uzņēmumu asociācija, LATVIJAS LOĢISTIKAS ASOCIĀCIJA, RĪGAS TIRDZNIECĪBAS UN RŪPNIECĪBAS KAMERA, Latvijas Elektrotehnikas un elektronikas rūpniecības asociācija, Latvijas Ķīmijas un farmācijas uzņēmēju asociācija, Latvijas, Informācijas tehnoloģiju klasteris, CLEANTECH LATVIA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atbalsta pasākumi tiks īstenoti, ievērojot nediskriminācijas principus un vienlīdzīgas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nodrošināto noteikto aktivitāšu kopums labvēlīgi ietekmēs iedzīvotāju sociālo situāciju, tajā skaitā neizslēdz sociālās atstumtības riskam pakļauto grupu pieteikšanos pasākuma aktivitātēm.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atbalsta pasākumi tiks īstenoti, ievērojot nediskriminācijas principus.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atbalsta pasākumi tiks īstenoti, ievērojot nediskriminācijas principus, t.sk., nodrošinot vienlīdzīgu darba samaksu, pieeju kvalifikācijas celšanas un apmācību pasākumiem. Publiskie iepirkumi tiks veikti sociāli atbildīgā veidā, kā arī īstenojot projekta komunikācijas aktivitātes, tiks izvēlēta valoda un vizuālie tēli, kas neveicina diskrimināciju un dzimumu stereotipu veidošanos.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atbalsta pasākumi tiks īstenoti, ievērojot nediskriminācijas principus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23-TA-2461</w:t>
    </w:r>
    <w:r>
      <w:br/>
    </w:r>
    <w:r w:rsidR="00000000" w:rsidRPr="00000000" w:rsidDel="00000000">
      <w:rPr>
        <w:rtl w:val="0"/>
      </w:rPr>
      <w:t xml:space="preserve">Izdrukāts 29.07.2026. 23.42 - 1.0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23-TA-2461</w:t>
    </w:r>
    <w:r>
      <w:br/>
    </w:r>
    <w:r w:rsidR="00000000" w:rsidRPr="00000000" w:rsidDel="00000000">
      <w:rPr>
        <w:rtl w:val="0"/>
      </w:rPr>
      <w:t xml:space="preserve">Izdrukāts 29.07.2026. 23.42 - 1.0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anotācija_(ex_ante)_23-TA-2461.docx</dc:title>
</cp:coreProperties>
</file>

<file path=docProps/custom.xml><?xml version="1.0" encoding="utf-8"?>
<Properties xmlns="http://schemas.openxmlformats.org/officeDocument/2006/custom-properties" xmlns:vt="http://schemas.openxmlformats.org/officeDocument/2006/docPropsVTypes"/>
</file>