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2021.–2027.gadam 5.1 prioritātes “Reģionu līdzsvarota attīstība”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 (turpmāk – noteikumu projekts) izstrādāts, pamatojoties uz Eiropas Savienības (turpmāk - ES)  fondu 2021.—2027.gada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tiks sniegts atbalsts pašvaldībām publiskās ārtelpas attīstīšanai saskaņā ar pašvaldību attīstības programmās noteiktajiem projektiem, identificējot primāri svarīgās vietas, kur ieguldījumi var sniegt vislielāko atdevi, palielināt sabiedrības drošību vai uzlabot dzīves vides kvalitāti, kas var ietvert multifunkcionālus risinājumus, “zaļo” un “zilo” infrastruktūru.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publiskās ārtelpas attīstīšana pilsētu funkcionālajās teritorijās, uzlabojot dzīves vides kvalitāti un palielinot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ieguldījumi publiskajā ārtelpā ne tikai uzlabos dzīves vides kvalitāti un palielinās sabiedrības drošību, bet arī netieši veicinās pie atjaunotās publiskās ārtelpas esošo uzņēmējdarbības piedāvāto pakalpojumu attīstīšanu vai jaunu pakalpojumu sniedzēju saimnieciskās darbības uzsākšanu.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Reģionālās politikas pamatnostādnēs 2021.–2027.gadam norādīto, Latvijā ir vienas no augstākajām reģionālās attīstības atšķirībām - starp Ekonomiskās Sadarbības un Attīstības organizācijas valstīm tās ir trešās augstākās. Rīgas plānošanas reģionā iekšzemes kopprodukts (turpmāk – IKP) uz vienu iedzīvotāju 2016.gadā ir 17 213 </w:t>
      </w:r>
      <w:r w:rsidR="00000000" w:rsidRPr="00000000" w:rsidDel="00000000">
        <w:rPr>
          <w:i w:val="1"/>
          <w:rtl w:val="0"/>
        </w:rPr>
        <w:t xml:space="preserve">euro</w:t>
      </w:r>
      <w:r w:rsidR="00000000" w:rsidRPr="00000000" w:rsidDel="00000000">
        <w:rPr>
          <w:rtl w:val="0"/>
        </w:rPr>
        <w:t xml:space="preserve">, kas ir 135% no vidējā IKP uz vienu iedzīvotāju valstī (12 760 </w:t>
      </w:r>
      <w:r w:rsidR="00000000" w:rsidRPr="00000000" w:rsidDel="00000000">
        <w:rPr>
          <w:i w:val="1"/>
          <w:rtl w:val="0"/>
        </w:rPr>
        <w:t xml:space="preserve">euro</w:t>
      </w:r>
      <w:r w:rsidR="00000000" w:rsidRPr="00000000" w:rsidDel="00000000">
        <w:rPr>
          <w:rtl w:val="0"/>
        </w:rPr>
        <w:t xml:space="preserve">). Kurzemē IKP uz vienu iedzīvotāju ir 74% no vidējā IKP uz vienu iedzīvotāju valstī, Vidzemē 66%, Zemgalē 63%, bet Latgalē 51% (Vides aizsardzības un reģionālās attīstības ministrijas (turpmāk – VARAM) aprēķins, izmantojot Centrālās statistikas pārvaldes (turpmāk – CSP) datus “CSP. IKG10_110. IKP statistiskajos reģionos un republikas pilsētās (faktiskajās cenās)”, pieejams: https://data1.csb.gov.lv/pxweb/lv/ekfin/ekfin__ikp__reg/IKG10_110.px/table/tableViewLayout1/ ?rxid=82d915a2-87ce-4635-a75c-42c03343be8c).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būtiski ir veicināt visu reģionu potenciāla attīstību un sociālekonomisko atšķirību mazināšanu, stiprinot to iekšējo un ārējo konkurētspēju, kā arī nodrošinot teritoriju specifikai atbilstošus risinājumus apdzīvojuma un kvalitatīvas dzīves vides attīstībai. Ievērojot minēto, noteikumu projekts paredz, ka finansējums katram plānošanas reģionam tiek noteikts pēc IKP uz vienu iedzīvotāju apgrieztās proporcijas, lielāku finansējumu paredzot reģioniem, kuros uz vienu iedzīvotāju ir zemāks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48"/>
        <w:gridCol w:w="1888"/>
        <w:gridCol w:w="1811"/>
        <w:gridCol w:w="1690"/>
        <w:gridCol w:w="1553"/>
        <w:tblGridChange w:id="0">
          <w:tblGrid>
            <w:gridCol w:w="1948"/>
            <w:gridCol w:w="1888"/>
            <w:gridCol w:w="1811"/>
            <w:gridCol w:w="1690"/>
            <w:gridCol w:w="155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Plānošanas reģions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IKP uz 1 iedzīvotāju (2019. gada CSP dati) jauno PR robežās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Augstāk attīstītā reģiona IKP pārsvars (reizes)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Koeficienti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Finansējums starp plānošanas reģioniem, ERAF, </w:t>
            </w:r>
            <w:r w:rsidR="00000000" w:rsidRPr="00000000" w:rsidDel="00000000">
              <w:rPr>
                <w:sz w:val="24"/>
                <w:b w:val="1"/>
                <w:i w:val="1"/>
                <w:rtl w:val="0"/>
              </w:rPr>
              <w:t xml:space="preserve">euro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Rīgas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2 224 416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Kurzemes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11 559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4 496 160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Zemgales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10 269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5 064 096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Vidzemes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9 867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5 277 072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Latgales PR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7 861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6 602 256</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23 664 000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5.1.1. specifiskā atbalsta mērķa “Vietējās teritorijas integrētās sociālās, ekonomiskās un vides attīstības un kultūras mantojuma, tūrisma un drošības veicināšana pilsētu funkcionālajās teritorijās” (turpmāk – 5.1.1.SAM) ietvaros plānots, balstoties uz integrētajām teritoriju attīstības stratēģijām – piecām plānošanas reģionu attīstības programmām un tām pakārtotām vietējo pašvaldību attīstības programmām. Plānošanas reģionu attīstības programmās tiks apskatīti kopējie teritoriju izaicinājumi, paredzot ieguldījumu no dažādiem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izpratnē integrēta teritoriju attīstības stratēģija ir plānošanas reģiona attīstības programma, ko saskaņā ar Teritoriju attīstības plānošanas likumu izstrādā atbilstoši Nacionālajam attīstības plānam un plānošanas reģiona ilgtspējīgas attīstības stratēģijai, pamatojoties uz attiecīgajā plānošanas reģionā ietilpstošo vietējo pašvaldību attīstības programmām, kā arī ņemot vērā blakus esošo plānošanas reģionu attīstības programmas. Plānošanas reģiona attīstības programmā ietver pašreizējās situācijas analīzi, tendences un prognozes, kā arī informāciju par attīstības programmas izstrādes procesu un nosaka vidēja termiņa prioritātes, to īstenošanai paredzēto pasākumu kopumu un attīstības programmas īstenošanas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Nacionālā attīstības plāna 2021.-2027.gadam un Reģionālās politikas pamatnostādnēs 2021.–2027.gadam identificētos izaicinājumus, noteikumu projekts paredz, ka atbalsts tiks sniegts integrētajās teritoriālajās stratēģijās definētajām pilsētu funkcionālajām teritorijām publiskās ārtelpas sakārtošanai,  vienlaikus nodrošinot atbilstību pašvaldību attīstības programmām. Attiecīgi ieguldījumus plānots veikt tikai pilsētās un to funkcionālajās teritorijās, kas ir nacionālas un reģionālas nozīmes attīstības centri un to apkārtējās teritorijas, starp kurām ir ikdienas darbaspēka migrācija un kopīgs pakalpojumu tīkls.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Kvalitatīva publiskā ārtelpa ir nozīmīgs dzīves kvalitātes un vietas konkurētspējas priekšnoteikums, kas pozitīvi ietekmē vietējo iedzīvotāju apmierinātību, gatavību klimata pārmaiņām, kā arī piekļuvi konkrētu teritoriju dabas un kultūras mantojumam un tūristu piesaistei. Līdz ar to publiskās ārtelpas attīstīšana var veidot multiplicējošu efektu uzņēmējdarbības attīstībai. Risinājumi publiskajā ārtelpā uzlabos teritoriju funkcionalitāti, jo tajās būs iespēja attīstīt dažādus pakalpojumus (veselības veicināšana, rekreācija, aktīvā atpūta, izziņa u.c.), veikt pielāgošanās klimata pārmaiņām pasākumus un mazināt sabiedrības drošības riskus, cita starpā veicot degradēto un nedrošo objektu sakārtošanu, nodrošinot apgaismojumu un videonovērošanu, kas, savukārt, dos ieguldījumu arī noziedzības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ilgtspējīgu teritoriālo attīstību un virzītos uz reģionālo atšķirību mazināšanu, tai skaitā, ņemot vērā demogrāfiskos izaicinājumus, atbalstāmi arī integrēti ieguldījumi publiskajā ārtelpā (piemēram, parks, skvērs, promenāde, publiski pieejama atpūtas zona, tai skaitā Baltijas jūras piekrastē), identificējot primāri svarīgās vietas, kur ieguldījumi var sniegt vislielāko atdevi, palielināt sabiedrības drošību vai uzlabot dzīves vides kvalitāti, kas var ietvert multifunkcionālus risinājumus, “zaļo” un “zilo” infrastruktūru (piemēram, “zaļās” salas, “zaļos” žogus, koku apstādījumus, dzīvžogus, velosipēdu novietnes, caurlaidīgu ietvju un laukumu segumu  izbūvi), ņemot vērā Eiropas Jaunā Bauhaus principus: estētika, ilgtspēja, iekļautība, tai skaitā, nodrošinot publiskās ārtelpas attīstības risinājumu iekļaušanos apkārtējā ainavā, dabā balstīto risinājumu, universālā dizaina principu ievērošanu. Eiropas Jaunā Bauhaus principu ievērošana Latvijā jau notiek. Piemēram, principa “ilgtspējība” ievērošanas tiek nodrošināta, īstenojot zaļo publisko iepirkumu, principa “iekļautība” ievērošana tiek nodrošināta, projektu iekļaujot pašvaldību attīstības programmā, kuras apspriešanā piedalās sabiedrība, un projekta īstenošanā paredzot universālā dizaina principu ievērošanu, kas nodrošina vienādas iespējas ikvienam.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principu “estētika” paredzēts nodrošināt, projekta izstrādē un īstenošanā pieaicinot kvalificētus speciālistus arhitektūras vai ainavu arhitektūras jomās. Publiskās ārtelpas attīstība ietver arī teritorijas funkcionalitātes uzlabošanu, netieši veicinot pie atjaunotās publiskās ārtelpas esošo uzņēmējdarbības piedāvāto pakalpojumu attīstīšanu vai jaunu pakalpojumu sniedzēju saimnieciskās darbības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ieguldījumi gājēju kustībai nepieciešamās infrastruktūras izveidei ir veicami, ievērojot universālā dizaina principus, kas saskaņā ar Latvijas Sociālās uzņēmējdarbības asociācijas izstrādātajām "Vadlīnijām sociāli atbildīga publiskā iepirkuma īstenošanai” nozīmē īpaši rūpīgu pieeju arhitektūras un pakalpojumu dizaina izstrādei, ieviešanai un uzturēšanai. Universāls dizains ietver šādus septiņus principus: daudzveidīga izmantošana, viegli izprotams pielietojums, minimāla fiziskā piepūle, viegli uztverama informācija, samazināta iespēja kļūdīties, kustībai un lietošanai atbilstošs telpas izmērs, ērta lietošana ikvienam.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29.panta 3.punktā noteikto,  lai tiktu nodrošināta integrēto teritoriju attīstības stratēģiju (reģionu attīstības programmu) izstrādātāju iesaiste projektu atlasē, noteikumu projekts nosaka, ka plānošanas reģiona pārstāvis piedalās projektu iesniegumu vērtēšanas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iesniedzējs var būt pašvaldība, tās izveidota iestāde, pašvaldības kapitālsabiedrība, kas veic pašvaldības deleģēto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noteiktas prasības projekta iesniedzējam un sadarbības partnerim, ievērojot, ka noteikumu projekts paredz iespēju par sadarbības partneri piesaistīt sabiedrisko (ūdenssaimniecības un (vai) siltumapgādes) pakalpojumu sniedzēju pieslēgumu ierīkošanai un to saistītās jaudas palielināšanai, ja tas paredzēts publiskās tualetes un publiski pieejama dzeramā ūdens ieguves vietas ierīkošanai, vai citiem pasākumiem, kas nepieciešami publiskās ārtelpas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Projekta ietvaros attiecināmās izmaksas ir pakārtotas atbalstāmajām darbībām, kas ir saistītas ar publiskās ārtelpas attīstīšanu pašvaldībās, lai veicinātu sabiedrības drošību, uzlabotu teritorijas funkcionalitāti un dzīves vides kvalitāti, kas var ietvert gan multifunkcionālus risinājumus, gan “zaļo” un “zilo”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publiska ārtelpa ir sabiedrībai brīvi vai daļēji pieejamas teritorijas un telpas, ko veido bulvāri, laukumi, publisku ēku pagalmi, pasāžas, krastmalas, promenādes, parki, mežaparki, skvēri, publiskie ūdeņi un citas vietas, kas nodotas publiskai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atbalstāmas darbības, kas nodrošina vienlīdzību, iekļaušanu un nediskrimināciju. Paredzēts, ka projektu izstrādes laikā, īstenošanā un vadībā tiks nodrošināta informācijas un vides pieejamības, nediskriminācijas pēc vecuma, dzimuma, etniskās piederības un citām pazīmēm un vienlīdzīgu iespēju principu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ēku būvniecība, elektroenerģijas, ūdenssaimniecības un siltumapgādes pieslēgumu ierīkošana un to saistītās jaudas palielināšana nav paredzētas kā atbalstāmās darbības, izņemot, ja tās saistītas ar publiskās tualetes un publiski pieejama dzeramā ūdens ieguves vietas ierīkošanu vai citiem pasākumiem, kas nepieciešami publiskās ārtelpas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un informācijas un publicitātes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publiskās ārtelpas attīstībai atbalsts tiks sniegts granta veidā, ņemot vērā, ka plānotās darbības īstenos pašvaldības un nav plānots atbalsts peļņu gūstošiem projektiem, bet gan investīcijas ir paredzētas tirgus nepilnību novēršanai (ievērojot, ka privātais sektors neveic investīcijas publiskajā infrastruktūrā) un sabiedrības drošības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Sadarbības iestāde var piešķirt finansējuma saņēmējam avansu līdz 50 procentiem no projektam piešķirtā Eiropas Reģionālās attīstības fonda (turpmāk – ERAF) finansējuma pēc civiltiesiskā līguma vai vienošanās par projekta īstenošanu noslēgšanas. Šādu piešķiramā avansa apmēru nepieciešams noteikt, lai tiktu nodrošināta naudas plūsma projektā iekļauto darbību ieviešanai, ņemot vērā ES fondu 2014.—2020.gada plānošanas perioda pieredzi līdzīgu specifisko atbalsta mērķu ieviešanā, kad projekta ietvaros tika veikti ieguldījumi publiskajā infrastruktūrā un projektu iesniedzēji bija pašvaldības, kurām ir ierobežotas budžeta iespējas ES fondu projektu priekšfinansēšanai. Vienlaikus projekta iesniedzējiem tiek noteikta prasība reizē ar avansa pieprasījumu iesniegt pamatojumu par spēju avansu izlietot sešu mēnešu laikā saimnieciskā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to, ka noteikumu projektā iekļautais iznākuma rādītājs “Atbalstītas integrētas teritoriālās attīstības stratēģijas” ir sasniegts, sniegs VARAM kā ES fondu atbildīgā iestāde, kad attiecīgajā plānošanas reģionā tiks pabeigta vismaz viena 5.1.1.SAM projekta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ir atbalstāmi “zaļās” infrastruktūras vai enerģiju taupoši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publiskajā iepirkumā izmanto zaļā publiskā iepirkuma kritērijus vai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izmanto risinājumu, kas palielina oglekļa dioksīda piesaisti, piemēram, “zaļie” žogi, koku apstādījumi, dzīvžogi u.c.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izmanto risinājumu vai paredz pasākumu, kas veicina pielāgošanos klimata pārmaiņām un mazina to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“zaļo” infrastruktūru uzskata tādu infrastruktūru, kas ir stratēģiski plānots pilnīgi vai daļēji dabisku teritoriju tīkls kombinācijā ar citiem vides objektiem, kas ir izveidots un tiek pārvaldīts, lai sniegtu plašu ekosistēmu pakalpojumu klāstu. Tas ietver “zaļās” zonas (vai “zilās”, ja attiecas uz ūdens ekosistēmām) un citus fiziskus elementus sauszemes (tostarp piekrastes) un jūras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vides pieejamības nodrošināšanai nepieciešams veikt iepirkumu, finansējuma saņēmējs veic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ievērojot godīgas konkurences principu, nodrošinot konsultēšanos ar tirgus dalībniekiem caurskatāmā un atklātā veidā, — balstoties uz objektīviem un nediskriminējošiem kritērijiem. Sociāli atbildīga publiskā iepirkuma galvenie mērķi ir vairot nodarbinātības iespējas, veicināt pienācīgas kvalitātes nodarbinātību, sociālo iekļaušanu, sabiedrisku pakalpojumu un ēku pieejamību, plašam lietotāju lokam paredzētu pakalpojumu un produktu izstrādi, ētisku tirdzniecību, kā arī paplašināt sociālo standartu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Tehniskajiem norādījumiem par principa “Nenodarīt būtisku kaitējumu” piemērošanu saskaņā ar Eiropas Parlamenta un Padomes Regulu (ES) 2021/241 (2021. gada 12. februāris), ar ko izveido Atveseļošanas un noturības mehānismu, noteikumu projektam nav tieša negatīva ietekme uz principu “Nenodarīt būtisku kaitējumu”, tai skaitā uz šādiem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Pielāgošanas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Aprites ekonomika, tostarp atkritumu rašanās novēršana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to kontrole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plānotās darbības neizraisīs negatīvu ietekmi un būtisku siltumnīcefekta gāzu emisiju pieaugumu uz pašreizējā klimata un gaidāmā nākotnes klimata radītajām negatīvajām ietekmēm uz pašu pasākumu, cilvēkiem, dabu vai aktīviem (tai skaitā infrastruktūru), kā arī neradīs negatīvu ietekmi uz pielāgošanās klimata pārmaiņām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iesniedzējiem jānodrošina, ka projektā tiek paredzēts zaļais publiskais iepirkums vismaz vienai būvdarbu vai preču vai pakalpojumu grupai papildu tām preču un pakalpojumu grupām, kurām obligāti piemērojams zaļais publiskais iepirkums saskaņā ar Ministru kabineta 2017.gada 20.jūnija noteikumiem Nr.353 “Prasības zaļajam publiskajam iepirkumam un to piemērošanas kārtība” (turpmāk – MK noteikumi Nr.353), tādējādi ilgtermiņā mazinot ietekmi uz klimata pārmaiņām, koncentrējoties uz otrreizējo būvmateriālu un materiālu izmantošanu, tāpat priekšroka dodama videi draudzīgākiem materiāliem, kas satur mazāk kaitīgo vielu.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finansējuma saņēmējam jānodrošina tādu risinājumu ieviešana un ūdens resursu lietošana, kas, ievērojot Ūdens apsaimniekošanas likumā u.c. normatīvajos aktos noteiktās prasības, veicinātu ilgtspējīgu un racionālu ūdens resursu lietošanu, uzlabotu ūdens vides aizsardzību, piemēram, izbūvējot lietus ūdeņu savākšanas un novadīšanas sistēmas, plānojot ūdenscaurlaidīgus segumus (ietvēm, laukumiem), lai mazinātu applūšanas riskus spēcīgu lietusgāžu gadījumā, nodrošinot virsūdeņu savākšanu un attīrīšanu.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2018. gada 30. maija Direktīvā 2018/851/ES, ar ko groza Direktīvu 2008/98 par atkritumiem noteiktos mērķus, projektu iesniedzējiem kopā ar projekta iesniegumu nepieciešams iesniegt apliecinājumus par to, ka tiks ievērotas Ministru kabineta 2021.gada 26.oktobra noteikumos Nr.712 “Atkritumu dalītas savākšanas, sagatavošanas atkārtotai izmantošanai, pārstrādes un materiālu reģenerācijas noteikumi” 6. punktā un MK noteikumu Nr.353 2.pielikumā noteiktās prasības, tostarp, ka nebīstamos būvgružus un ēku nojaukšanas atkritumus, kas būvlaukumā radušies būvniecības laikā, saskaņā ar atkritumu apsaimniekošanas hierarhiju atkārtoti izmanto būvniecības objektā uz vietas (tostarp aizbēršanas darbībām, kurās atkritumus izmanto citu materiālu aizstāšanai) vai tos nodos sagatavošanai atkārtotai izmantošanai, pārstrādei vai reģenerācijai uzņēmumiem, kas saņēmuši atbilstošas piesārņojošās darbības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plānots nojaukt teritorijā esošas ēkas, kurās ir azbestu saturoši materiāli, azbestu saturošie izstrādājumi tiks apstrādāti un transportēti atbilstoši normatīvajiem aktiem par darba aizsardzības prasībām darbā ar azbestu, tajā skaitā nepieļaujot azbesta šķiedru vai putekļu nokļūšanu vidē. Prasība ir pārņemta nacionālajos normatīvajos aktos,  uzraudzību saskaņā Ministru kabineta 2011. gada 26. aprīļa noteikumos Nr. 301 "Noteikumi par azbesta un azbesta izstrādājumu ražošanas radīto vides piesārņojumu un azbesta atkritumu apsaimniekošanu" un saskaņā ar Ministru kabineta 2004. gada 12. oktobra noteikumos Nr. 852 "Darba aizsardzības prasības darbā ar azbestu" noteikto veic Valsts vides dienests un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publiskās ārtelpas teritorijas netiek plānotas īpaši aizsargājamajās dabas teritorijās, kur nepieciešams nodrošināt ES nozīmes dzīvotņu un sugu aizsardzību, nodrošinot biotopiem un sugām labvēlīgu stāvokli. Ieguldījumi Baltijas jūras piekrastē pozitīvi ietekmēs ES nozīmes jūras piekrastes biotopu labvēlīga aizsardzības statusa apstākļu 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ar kuru noteikti īstenošanas noteikumi ES kohēzijas politikas programmas 2021.–2027.gadam 5.1.1.SAM 5.1.1.3. pasākumam “Publiskās ārtelpas attīstība” (turpmāk – 5.1.1.3.pasākums).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5.1.1.3.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tiks attīstīta publiskā ārtelpa pilsētu funkcionālajās teritorijās, uzlabojot dzīves vides kvalitāti un palielinot sabiedrības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 un pašvaldības, to izveidotas iestādes, pašvaldības kapitālsabiedrības, kas veic pašvaldību deleģēto pārvaldes uzdevumu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ir jāņem vērā noteikumu projektā noteiktais pieejamais ERAF finansējums un projektā sasniedzamās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9 465 600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9 465 600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9 465 600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9 465 600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5 568 000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11 136 000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11 136 000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4 732 800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9 465 600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9 465 600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-835 200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-1 670 400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finansējuma sadalījums 2024., 2025. un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2025. un 2026. gadā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ieņēmumu summu veido 5.1.1.3. pasākuma ERAF finansējums 23 664 000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plānotais kopējais projektu attiecināmo izmaksu finansējums, tai skaitā nepieciešamais ERAF finansējums 85% apmērā un pašvaldību finansējums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23 664 000 + 4 176 000 = 27 840 000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20% jeb 5 568 000 </w:t>
            </w:r>
            <w:r w:rsidR="00000000" w:rsidRPr="00000000" w:rsidDel="00000000">
              <w:rPr>
                <w:sz w:val="24"/>
                <w:i w:val="1"/>
                <w:rtl w:val="0"/>
              </w:rPr>
              <w:t xml:space="preserve">euro</w:t>
            </w:r>
            <w:r w:rsidR="00000000" w:rsidRPr="00000000" w:rsidDel="00000000">
              <w:rPr>
                <w:sz w:val="24"/>
                <w:rtl w:val="0"/>
              </w:rPr>
              <w:t xml:space="preserve"> (27 840 000 / 100 *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40% jeb 11 136 000 </w:t>
            </w:r>
            <w:r w:rsidR="00000000" w:rsidRPr="00000000" w:rsidDel="00000000">
              <w:rPr>
                <w:sz w:val="24"/>
                <w:i w:val="1"/>
                <w:rtl w:val="0"/>
              </w:rPr>
              <w:t xml:space="preserve">euro</w:t>
            </w:r>
            <w:r w:rsidR="00000000" w:rsidRPr="00000000" w:rsidDel="00000000">
              <w:rPr>
                <w:sz w:val="24"/>
                <w:rtl w:val="0"/>
              </w:rPr>
              <w:t xml:space="preserve"> (27 840 000 / 100 *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40% jeb 11 136 000 </w:t>
            </w:r>
            <w:r w:rsidR="00000000" w:rsidRPr="00000000" w:rsidDel="00000000">
              <w:rPr>
                <w:sz w:val="24"/>
                <w:i w:val="1"/>
                <w:rtl w:val="0"/>
              </w:rPr>
              <w:t xml:space="preserve">euro</w:t>
            </w:r>
            <w:r w:rsidR="00000000" w:rsidRPr="00000000" w:rsidDel="00000000">
              <w:rPr>
                <w:sz w:val="24"/>
                <w:rtl w:val="0"/>
              </w:rPr>
              <w:t xml:space="preserve"> (27 840 000 / 100 *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un pašvaldību budžetiem izriet no attiecības starp iepriekšminētajiem ieņēmumiem un izdevumiem pa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pamatbudžetu: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4 732 800 – 4 732 800 = 0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un 2026.gadā: 9 465 600 – 9 465 600 = 0 (valsts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0 – 835 200 = -835 200 (pašvaldību budžeta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un 2026.gadā: 0 – 1 670 400 = -1 670 400 (pašvaldību budžeta līdzfinansējums)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ietekmē amata vietu skaitu, t.i., plānojot projekta īstenošanu, tiks izvērtēta esošo cilvēkresursu kapacitāte, nepieciešamības gadījumā piesaistot personālu uz darba līguma pamata vai nodrošinot projekta pasākumu īstenošanu ārpakalpojuma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 un pašvaldības, to izveidotas iestādes, pašvaldības kapitālsabiedrības, kas veic pašvaldību deleģēto pārvaldes uzdevumu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komentāri, iebildumi un priekšlikumi, tad attiecīgi tie tiks vērtēti noteikumu projekta saskaņošanas procesā un attiecīgi tiks precizēts noteikumu projekts un anotācija pirms noteikumu projekta iesniegšanas izskatīšanai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 un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tiks attīstīta publiskā ārtelpa pilsētu funkcionālajās teritorijās, identificējot primāri svarīgās vietas, kur ieguldījumi var sniegt vislielāko atdevi, palielināt sabiedrības drošību vai uzlabot dzīves vides kvalitāti, jaunizveidojot vai atjaunojot atvērtās zonas (publiskas teritorijas) pilsētvidē vismaz 117 666 m</w:t>
      </w:r>
      <w:r w:rsidR="00000000" w:rsidRPr="00000000" w:rsidDel="00000000">
        <w:rPr>
          <w:vertAlign w:val="superscript"/>
          <w:rtl w:val="0"/>
        </w:rPr>
        <w:t xml:space="preserve">2</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tiks veikti publiskajā ārtelpā, identificējot primāri svarīgās vietas, kur tie var sniegt vislielāko atdevi, palielināt sabiedrības drošību vai uzlabot dzīves vides kvalitāti, kas var ietvert multifunkcionālus risinājumus, “zaļo” un “zilo” infrastruktūru (piem., “zaļās” salas, “zaļos” žogus, velosipēdu novietnes, caurlaidīgu ietvju un stāvlaukumu segumu  izbūvi).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tiks veikti publiskajā ārtelpā, kas vienlaikus var ietvert “zaļās” infrastruktūras izmantošanu klimata risku ietekmes mazināšanai, identificējot primāri svarīgās vietas pilsētās un citās blīvi apdzīvotās vietās, kur “zaļā” infrastruktūra var sniegt vislielāko atdevi un sekmēt pielāgošanos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jānodrošina, ka projektā tiek paredzēts zaļais publiskais iepirkums vismaz vienai būvdarbu vai preču vai pakalpojumu grupai papildu tām preču un pakalpojumu grupām, kurām obligāti piemērojams zaļais publiskais iepirkums saskaņā ar MK noteikumiem Nr.353.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kvalitātes kritēriju, kura ietvaros projekta iesniedzējam tiek doti 0,5 punkti, ja projektā tiek paredzētas vismaz divas vispārīgas un divas specifiskās horizontālo principu darbības, un vismaz divi horizontālo principu rādītāji.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 vides pieejamības nodrošināšanai nepieciešams veikt iepirkumu, finansējuma saņēmējs veic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 pērkot ētiski ražotus produktus un pakalpojumus un izmantojot publiskās iepirkumu procedūras, lai radītu darbavietas, pienācīgus darba apstākļus, sekmētu sociālo un profesionālo iekļautību, kā arī veicinātu labākus darba nosacījumus cilvēkiem ar invaliditāti un nelabvēlīgā situācijā esošiem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veicot projektu komunikācijas aktivitātes, tiks aicināti izvēlēties valodu un vizuālos tēlus,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projektu ieviesēji tiks aicināti nodrošināt, ka informācija publiskajā telpā, tai skaitā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Vadlīnijas piekļūstamības izvērtējumam pieejamas šeit: https://www.varam.gov.lv/lv/wwwvaramgovlv/lv/pieklustamiba).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22-TA-3340</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22-TA-3340</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anotācija_(ex_ante)_22-TA-3340.docx</dc:title>
</cp:coreProperties>
</file>

<file path=docProps/custom.xml><?xml version="1.0" encoding="utf-8"?>
<Properties xmlns="http://schemas.openxmlformats.org/officeDocument/2006/custom-properties" xmlns:vt="http://schemas.openxmlformats.org/officeDocument/2006/docPropsVTypes"/>
</file>