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20. jūnija noteikumos Nr. 353 "Prasības zaļajam publiskajam iepirkumam un to piemērošanas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izstrādāja Vides aizsardzības un reģionālās attīstības ministrija (turpmāk - VARAM) pēc savas iniciatīvas, lai nodrošinātu zaļā publiskā iepirkuma (turpmāk - ZPI) kritēriju aktualizēšanu, vienkāršošanu.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2017.gada 20.jūnija noteikumos Nr. 353 “Prasības zaļajam publiskajam iepirkumam un to piemērošanas kārtība” (turpmāk- noteikumu projekts) mērķis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 ZPI prasības, ņemot vērā tehnoloģisko attīstību, un pārņemtu Eiropas Komisijas izstrādātās aktualizētās ZPI vadlīnijas vairākām preču un pakalpojumu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un vienkāršot ZPI prasības, ņemot vērā ZPI ieviešanas un piemērošanas praksi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pastāvīgi aktualizē un pārskata ZPI prasības vairākām preču un pakalpojumu grupām, nepieciešams šīs prasības pārņemt un piemērot Latvijas situācijai. Kā arī mainoties un attīstoties tehnoloģiskajiem risinājumiem, nepieciešams pārskatīt ZPI prasības, lai tās tiktu aktualizētas un piemērotas jaunākajiem risinājumiem un prasībām. Piemērojot ZPI prasības un kritērijus Latvijā kopš 2017.gada 1. jūlija, kad stājās spēkā Ministru kabineta 2017. gada 20. jūnija noteikumi Nr. 353 “Prasības zaļajam publiskajam iepirkumam un to piemērošanas kārtība” (turpmāk - MK not. nr. 353), tika konstatēts, ka ir iespējams atvieglot ZPI. Vides aizsardzības un reģionālās attīstības ministrija izvirzīto prasību lietderības un nepieciešamības analīzi veica, izstrādājot noteikumu projektu, nepieciešamo informāciju ietverot sākotnējās ietekmes novērtējuma ziņojumā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VARAM iniciatīvas,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aktualizētu ZPI prasības, ņemot vērā tehnoloģisko attīstību, un pārņemtu Eiropas Komisijas izstrādātās aktualizētās ZPI vadlīnijas vairākām preču un pakalpojumu grupām (pārtikas un ēdināšanas pakalpojumi, transports, iekštelpu un āra apgaismojums, būvdarbi);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pārskatītu un vienkāršotu ZPI prasības, ņemot vērā ZPI ieviešanas un piemērošanas praksi Latvijā kopš 2017.gada 1. jūlija, kad stājās spēkā MK not. nr. 353.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tiek veikti grozījumi piecās preču un pakalpojumu grupās (trijām obligāti piemērojamām grupām no 1. pielikuma - pārtika un ēdināšanas pakalpojumi, iekštelpu apgaismojums, ielu apgaismojums un satiksmes signāli, un divām grupām no 2. pielikuma – būvniecība, transports). Tiek noteiktas obligātās minimālās piemērojamās prasības būvdarbu iepirkumiem – 14 kritēriji, paplašinot tvērumu un attiecinot uz Trešās grupas ēku jauna būvniecību,  pārbūvi, projektēšanu un nojaukšanu un iekļaujot šo grupu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kritēriji transporta sektorā tiek sadalīti divās daļās – kritēriji Vieglo pasažieru automobiļu un vieglo komerctransporta automobiļu iegāde tiek iekļauti 1. pielikumā, nosakot kā obligātus. Tiek pārskatītas CO2 emisijas ņemot vērā 2021. un 2022. gada pieejamās un realizētās automašīnas Latvijā. Tās tika sadalītas pa auto klasēm, salīdzinātas pēc CO2 emisijām, izvērtētas vides prasības, konkurences apstākļi un pieejamie modeļi. Veicot analīzi, CO2 limiti tika noteikti, kas būtu atbilstoši pietiekamas konkurences nodrošināšanai izsludinot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iegādes un ēdināšanas pakalpojumu iepirkumos tiek precizēts piegādes attālums, norādot, “piemēram, 250 km no piegādes vai ražošanas vietas”, lai nodrošinātu pietiekamu konkurenci un Pasūtītajam iespēju iegādāties pārtikas produktus atrodoties arī attālākos Latvijas reģionos. Ņemot vērā, ka ir pārtikas produkti, kuriem nav iespējams piemērot ZPI prasības un kritērijus, tiek noteikti izņēmumi ZPI piemērošanai (piemēram, eksotiskajiem augļiem un dārzeņiem, kā arī saldētai produkcijai, kas netiek audzēta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Iekštelpu un ārtelpu  apgaismojumam ZPI kritēriji tiek precizēti ņemot vērā jaunās energomarķējuma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pārtikas iegādei un ēdināšanas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un kritēriji ir noteikti pārtikas produktu piegādēm un ēdināšanas pakalpojumiem. ZPI kritērijus piemēro brīvprātīgi augļiem, ogām un dārzeņiem, kas nav iekļauti Zemkopības ministrijas izstrādātajos vietējo augļu, ogu un dārzeņu sezonalitātes kalendāros (pieejami Iepirkumu uzraudzības biroja tīmekļvietnē https://www.iub.gov.lv/lv/partikas-piegazu-un-edinasanas-pakalpojumu-iepirkumi), kā arī  pārtikas produktiem, tostarp,  saldētai produkcijai, kuri netiek audzēti vai ražoti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noteikumu projektā pārtikas produktu piegādes attālums, nosakot: “pārtikas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Ēdināšanas pakalpojumu</w:t>
      </w:r>
      <w:r w:rsidR="00000000" w:rsidRPr="00000000" w:rsidDel="00000000">
        <w:rPr>
          <w:rtl w:val="0"/>
        </w:rPr>
        <w:t xml:space="preserve"> ZPI kritērijs tiek precizēts ņemot vērā jaunās energomarķējuma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APRĪKOJUMS Ja iekļauts ir arī aprīkojums, tad nepieciešams ievērot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ledusskapjos un saldētavās, ko paredzēts izmantot, sniedzot ēdināšanas pakalpojumus, nav ozona slāni noārdošās vielas (hidrohlorfluorogļūdeņradis (HCFC) un fluorogļūdeņradis (HFC));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aprīkojums atbilst vienam vai vairākiem no turpmāk minētajiem energoefektivitātes standartiem, ja tādi pastāv, Eiropas Savienības (turpmāk - ES) enerģijas patēriņa marķējums (ne zemāk kā F  klase) vai līdzvērtīgs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aprīkojums ir efektīvs ūdens patēriņa ziņā saskaņā ar ES marķējumu vai līdzvērtīgu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Iekštelpu apgaismojumam: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pārskatītas energomarķējuma prasības atbilstoši jaunajam regulējumam. No 2021.gada 1.septembra gaismas avotiem (spuldzēm un citiem gaismekļiem) piemērojamas Eiropas Komisijas 2019.gada 11.marta regula 2019/2015,ar ko Eiropas Parlamenta un Padomes Regulu (ES) 2017/1369 papildina attiecībā uz gaismas avotu energomarķējumu un atceļ Komisijas Deleģēto regulu (ES) Nr. 874/2012 un Eiropas Komisijas 2021.gada 24.marta regula (ES) 2021/403, ar ko attiecībā uz tādu veterināro un veterināro/oficiālo sertifikātu paraugiem, kuri paredzēti noteiktu kategoriju sauszemes dzīvnieku un to reproduktīvo produktu sūtījumu ievešanai Savienībā un pārvietošanai starp dalībvalstīm, un šādu sertifikātu sakarā veicamo oficiālo sertificēšanu nosaka noteikumus Eiropas Parlamenta un Padomes Regulas (ES) 2016/429 un (ES) 2017/625 piemērošanai un atceļ Lēmumu 2010/470/ES (Dokuments attiecas uz EEZ) prasības, kas paredz jaunu energomarķējumu. Jaunajā marķējumā visiem produktiem tiek izmantota vienota A-G skala. A++/A+ klases vairs netiek lietotas.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6.1.sadaļas ZPI prasības un kritēriji Tehniskās specifikācijas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GAISMAS ATDEVE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Nomaiņas spuldzēm, kas paredzētas esošajām ierīcēm, jābūt tādai  efektivitātei, kas vienāda vai augstāka par attiecīgās enerģijas klases minimālo efektivitāti, kas norādīta tabulā.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49"/>
        <w:gridCol w:w="4591"/>
        <w:tblGridChange w:id="0">
          <w:tblGrid>
            <w:gridCol w:w="4749"/>
            <w:gridCol w:w="45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Spuldzes tips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enerģijas klase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Pārējās spuldzes, tostarp LED un gāzizlādes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Piezīme. Jāizmanto jaunākā energoefektivitātes klases 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Spuldzēm, kas paredzētas jaunām un renovētām ierīcēm, jābūt tādai efektivitātei , kas vienāda vai augstāka par attiecīgās enerģijas klases minimālo efektivitāti, kas norādīta tabulā turpmāk.</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49"/>
        <w:gridCol w:w="4591"/>
        <w:tblGridChange w:id="0">
          <w:tblGrid>
            <w:gridCol w:w="4749"/>
            <w:gridCol w:w="45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Spuldžu tips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enerģijas klase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Spuldzes  ar krāsu atveidojuma koeficientu Ra&gt;=90 (ja tas ir nepieciešams ēkā veicamajai darbībai)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spuldzes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Piezīme. Jāizmanto jaunākā energoefektivitātes klases definīcija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prasības attiecībā par ekspluatācijas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Spuldzēm, kas paredzētas jaunām un renovētām ierīcēm, un nomaiņas spuldzēm, kas paredzētas esošajām ierīcēm, jābūt tādam ekspluatācijas laikam, kas nav mazāks parL80B10   pie 50 000 h vaiL70B50  pie 100 000h.”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6.2. sadaļas ZPI prasības un kritēriji Tehniskās specifikācijas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APGAISMOJUMA NORMALIZĒTĀ ĪPATNĒJĀ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apgaismojumu uzstāda individuālā vietā vai ēkas daļā, apgaismojuma maksimālā patērētā jauda šajā vietā, dalot ar kopējo platību un ar tās apgaismotību, kas izteikta 100 luksu vienībās, nedrīkst pārsniegt zemāk norādītās vērtības.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gaismas atdeve 100 lm/W, gaismekļa gaismas avota izstarotās gaismas mirdzēšana ne lielāka kā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6.2. sadaļas ZPI prasības un kritēriji Piedāvājuma izvērtēšanas kritēriji 2. punktu izteikt šādā redakcijā: “2. APGAISMOJUMS, KAS NEMIRGO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punktus piešķir, ja apgaismojumam ir veikti apgaismojuma mirgošanas (flickering) testi, kas apliecina  lampas nemirgošanu tās darbības laikā. Piemēram, minimālā prasība apgaismojuma mirgošanai varētu būt vienāds vai mazāks par 20%, papildus punktus piešķir ja tas ir zemāks par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āra apgaismojumam: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pārskatītas prasības, kas attiecas uz ražojuma ekspluatācijas laiku, nosakot: “Gaismekļa kalpošanas laiks ir vismaz 100 000h (L90B10) pie 25°C, par ko tiek iesniegti atbilstības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papildinātas prasības, kas attiecas uz gaismekļu optiskās sistēmas aprīkojumu, gaismekļu fotometrijas datiem, izturību pret pārspriegumu, elektromagnētiskā savietojamība.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noteiktas prasības, kas attiecas uz videi draudzīgu piegādi, nosakot, ka papildus punktus piešķir par tādu gaismekļu un apgaismojuma aprīkojuma piegādi, kas tiks veikta noteiktā pasūtītāja paredzēta attāluma ietvaros no ražošanas vietas līdz pasūtītāja norādītajai vietai, lai maksimāli samazinātu CO2 izmešus piegādes procesā (piemēram, 250 km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paplašināts tvērums ZPI prasības attiecinot uz Trešās grupas ēku jauna būvniecību,  pārbūvi, projektēšanu un nojaukšanu un iekļaujot šo grupu noteikumu grozījumu 1. pielikumā. Tiek noteikti 14 minimāli obligāti piemērojamie ZPI kritēriji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ZPI kritēriji no esošās MK not. nr. 353 redakcijas 2. pielikuma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 Primārās enerģijas patēriņa novērtējums un primārās neatjaunojamās enerģijas maksimālais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B5. Velosipēdu un mikromobilitātes transporta līdzekļu novietne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B6.  Atkārtoti izmantojamu vai pārstrādājamu atkritumu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B7.  Ūdens taupīšanas ietaises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B9.  Vizuālais kontakts ar ārtelpu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B10. Ventilācija un gaisa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B11. Izbūves un apdares materiālu izvēle (prasības gaistošajiem organiskajiem savienojumiem un formaldehīdiem)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B14. Būvprojekta vadītāja vai izstrādātāja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2 jauni ZPI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B20.    Pasīvie iekštelpu klimata regulēšanas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B21.    Atkārtoti izmantotu materiālu vai viegli pārstrādājamu materiālu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ZPI kritēriji no esošās MK not. nr. 353 2. pielikuma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C1. Būvgružu (tai skaitā demontēšanas) šķirošana un nodošana speciālos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 Likumīgas izcelsmes kokmateriāli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C4. Būvdarbu vadītāja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1 jauns ZPI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C22. Izbūves un apdares materiālu ietekme uz iekštelpu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pieejama noteikumu projekta 1.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pasažieru automobiļu un vieglo komerctransporta automobiļu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CO2 emisiju robežvērtības noteiktas stingrākas. Saskaņā ar transportlīdzekļu tehnisko datu lapu, transportlīdzekļu CO2 emisija nedrīkst pārsniegt šādus rādītājus (pēc WLTP mērīšanas metodes):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65"/>
        <w:gridCol w:w="5575"/>
        <w:tblGridChange w:id="0">
          <w:tblGrid>
            <w:gridCol w:w="3765"/>
            <w:gridCol w:w="557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Transportlīdzekļa tips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CO2 (g/km)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Vieglie pasažieru automobiļi (M1)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Mazs, mazs apvidus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Kompakts, kompaktā apvidus, mazā daudzfunkciju, kompaktā daudzfunkciju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Vidējs, vidējs daudzfunkciju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Liels, vidējā apvidus, lielā daudzfunkciju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Luksus, lielā apvidus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Vieglais komerctransports (N1)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Pikapi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Mazie furgoni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Vidēji furgoni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Lielie furgoni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kritēriji transporta sektorā tiek sadalīti divās daļās – kritēriji Vieglo pasažieru automobiļu un vieglo komerctransporta automobiļu iegāde tiek iekļauti 1. pielikumā, nosakot kā obligātus. Tiek pārskatītas CO2 emisijas ņemot vērā 2021. un 2022. gada pieejamās un realizētās automašīnas Latvijā. Tās tika sadalītas pa auto klasēm, salīdzinātas pēc CO2 emisijām, izvērtētas vides prasības, konkurences apstākļi un pieejamie modeļi. Veicot analīzi, CO2 limiti tika noteikti, kas būtu atbilstoši pietiekamas konkurences nodrošināšanai izsludinot konkursus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ZPI kritēriji un prasības apspriestas tematiskajās diskusijās (transports, būvdarbi un pārtikas iegāde un ēdināšanas pakalpojumi), kur piedalījās ministriju, nozaru asociāciju, nevalstisko organizāciju, sociālo partneru pārstāvji un iepirkumu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Izvērtējumi tika veikti “Datu ieguve (vākšana / iegūšana / apkopošana) un analīze par zaļā publiskā iepirkuma kritēriju izmantošanu transportlīdzekļu publiskajos iepirkumos”, kur tika apkopota plaša informācija par transporta nozari, tās mērķiem Eiropas Savienībā (ES), kā arī Latvijas mērķiem. Mērķi tika papildināti ar Latvijas normatīvo aktu apskatu par transportlīdzekļiem un to iepirkumu. Tā kā ES 2021.gadā ir izstrādājusi jaunus ZPI kritērijus transporta nozarei, tad kritēriji tika salīdzināti ar esošo ZPI likumdošanu, lai saprastu jaunos ieteikumos no ES puses, un izvērtētu, vai ir pieejama papildus informācija. Lai novērtētu Latvijas publiskā sektora kopējo iepirkumu apjomu, tika apkopota informācija par transportu saistītajiem iepirkumiem Latvijas publiskajā sektorā, izmantojot Iepirkumu uzraudzības biroja datubāzi. Tika izmantoti IUB atvērto failu informāciju, kas gan satur ierobežotu informāciju par iepirkumu procesu, attiecīgi atvērto failu dati tika papildināti ar rezultātu paziņojumu pārskatu, lai veidotu pilnīgāku datubāzi un varētu veikt detalizētu transportlīdzekļu iepirkumu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(vākšana / iegūšana / apkopošana) un analīze par zaļā publiskā iepirkuma kritēriju izmantošanu transportlīdzekļu publiskajos iepirkumos” ir pieejams tīmekļvietnē https://www.varam.gov.lv/lv/media/31225/download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(vākšana / iegūšana / apkopošana) un analīze par zaļā publiskā iepirkuma kritēriju izmantošanu transportlīdzekļu publiskajos iepirkumos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“Datu ieguve (vākšana / iegūšana / apkopošana) un analīze par zaļā publiskā iepirkuma kritēriju izmantošanu transportlīdzekļu publiskajos iepirkumos” tika apkopota plaša informācija par transporta nozari, tās mērķiem Eiropas Savienībā (ES), kā arī Latvijas mērķiem. Mērķi tika papildināti ar Latvijas normatīvo aktu apskatu par transportlīdzekļiem un to iepirkumu. Tā kā ES 2021.gadā ir izstrādājusi jaunus ZPI kritērijus transporta nozarei, tad kritēriji tika salīdzināti ar esošo ZPI likumdošanu, lai saprastu jaunos ieteikumos no ES puses, un izvērtētu, vai ir pieejama papildus informācija. Lai novērtētu Latvijas publiskā sektora kopējo iepirkumu apjomu, tika apkopota informācija par transportu saistītajiem iepirkumiem Latvijas publiskajā sektorā, izmantojot Iepirkumu uzraudzības biroja datubāzi. Tika izmantoti IUB atvērto failu informāciju, kas gan satur ierobežotu informāciju par iepirkumu procesu, attiecīgi atvērto failu dati tika papildināti ar rezultātu paziņojumu pārskatu, lai veidotu pilnīgāku datubāzi un varētu veikt detalizētu transportlīdzekļu iepirkumu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(vākšana / iegūšana / apkopošana) un analīze par zaļā publiskā iepirkuma kritēriju izmantošanu transportlīdzekļu publiskajos iepirkumos” ir pieejams tīmekļvietnē https://www.varam.gov.lv/lv/media/31225/download .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tai skaitā, vākšana, iegūšana, apkopošana un analīze par zaļā publiskā iepirkuma kritēriju piemērošanu būvdarbu iepirkumos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Ilgtspējīgas būvniecības padome" VARAM uzdevuma ir veikusi izpēti “Datu ieguve, t.sk. vākšana, iegūšana, apkopošana un analīze par zaļā publiskā iepirkuma kritēriju piemērošanu būvdarbu iepirkumos”, kas norisinājās no 2021.gada septembrim līdz decembrim, ar mērķi – apzināt esošo situāciju būvniecības nozarē un izstrādāt piedāvājumu kā turpmāk veicināt publiskos iepirkumos zaļās būvniecības principus, zaļo būvju projektēšanu un būvdarbus. Piedāvājums mazinātu būvniecības nozares ietekmi uz klimata pārmaiņām dotu iespēju valsts pārvaldei sasniegt ES Zaļā kursa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ieguve, tai skaitā, vākšana, iegūšana, apkopošana un analīze par zaļā publiskā iepirkuma kritēriju piemērošanu būvdarbu iepirkumos" ir pieejams tīmekļvietnē https://www.varam.gov.lv/lv/media/30721/download .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Jāpiemēro videi draudzīgāki risinājumi būvniecības un transportu sektorā.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projektā ņemti vērā ieteikumi no Eiropas Komisijas izstrādātajām vadlīnijām par zaļā publiskā iepirkuma piemērošanu.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22-TA-2058</w:t>
    </w:r>
    <w:r>
      <w:br/>
    </w:r>
    <w:r w:rsidR="00000000" w:rsidRPr="00000000" w:rsidDel="00000000">
      <w:rPr>
        <w:rtl w:val="0"/>
      </w:rPr>
      <w:t xml:space="preserve">Izdrukāts 29.07.2026. 21.49 - 1.0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22-TA-2058</w:t>
    </w:r>
    <w:r>
      <w:br/>
    </w:r>
    <w:r w:rsidR="00000000" w:rsidRPr="00000000" w:rsidDel="00000000">
      <w:rPr>
        <w:rtl w:val="0"/>
      </w:rPr>
      <w:t xml:space="preserve">Izdrukāts 29.07.2026. 21.49 - 1.0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anotācija_(ex_ante)_22-TA-2058.docx</dc:title>
</cp:coreProperties>
</file>

<file path=docProps/custom.xml><?xml version="1.0" encoding="utf-8"?>
<Properties xmlns="http://schemas.openxmlformats.org/officeDocument/2006/custom-properties" xmlns:vt="http://schemas.openxmlformats.org/officeDocument/2006/docPropsVTypes"/>
</file>