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Types>
</file>

<file path=_rels/.rels><?xml version="1.0" encoding="UTF-8" standalone="yes"?>
<Relationships xmlns="http://schemas.openxmlformats.org/package/2006/relationships"><Relationship Target="docProps/app.xml" Type="http://schemas.openxmlformats.org/officeDocument/2006/relationships/extended-properties" Id="rId1"/><Relationship Target="docProps/core.xml" Type="http://schemas.openxmlformats.org/package/2006/relationships/metadata/core-properties" Id="rId2"/><Relationship Target="docProps/custom.xml" Type="http://schemas.openxmlformats.org/officeDocument/2006/relationships/custom-properties" Id="rId3"/><Relationship Target="word/document.xml" Type="http://schemas.openxmlformats.org/officeDocument/2006/relationships/officeDocument" Id="rId4"/></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background w:color="FFFFFF"/>
  <w:body>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1. Tiesību akta projekta izstrādes nepieciešamība</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Anotācijas (ex-ante) nosaukums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Tiesību akta projekta "Grozījumi Ministru kabineta 2014. gada 12. augusta noteikumos Nr. 461 "Prasības pārtikas kvalitātes shēmām, to ieviešanas, darbības, uzraudzības un kontroles kārtība"" sākotnējās ietekmes (ex-ante) novērtējuma ziņojums (anotācija)</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1.1. Pamatojums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Izstrādes pamatojums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ES dokuments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Eiropas Parlamenta un Padomes 2021. gada 2. decembra Regula (ES) 2021/2115, ar ko izveido noteikumus par atbalstu stratēģiskajiem plāniem, kuri dalībvalstīm jāizstrādā saskaņā ar kopējo lauksaimniecības politiku (KLP stratēģiskie plāni) un kurus finansē no Eiropas Lauksaimniecības garantiju fonda (ELGF) un no Eiropas Lauksaimniecības fonda lauku attīstībai (ELFLA), un ar ko atceļ Regulas (ES) Nr. 1305/2013 un (ES) Nr. 1307/2013 (turpmāk – Regula 2021/2115).</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Izstrādes pamatojums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Ministrijas / iestādes iniciatīva</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Spēkā esošajos Ministru kabineta 2014. gada 12. augusta noteikumos Nr. 461 “Prasības pārtikas kvalitātes shēmām, to ieviešanas, darbības, uzraudzības un kontroles kārtība” (turpmāk – noteikumi Nr. 461) nepieciešams noteikt kvalitātes prasības jauniem nacionālās pārtikas kvalitātes shēmas produktiem.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1.2. Mērķis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Mērķa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Precizēt atsauces uz Eiropas Savienības (turpmāk – ES) tieši piemērojamiem tiesību aktiem, saskaņā ar kuriem tiek izveidotas pārtikas kvalitātes shēmas, precizēt produktu kvalitātes kritērijus, kā arī paplašināt nacionālās pārtikas kvalitātes shēmas produktu klāstu, lai veicinātu ražotāju iesaistīšanos kvalitātes shēmā.</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Spēkā stāšanās termiņš</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Vispārējā kārtība</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1.3. Pašreizējā situācija, problēmas un risinājumi</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Pašreizējā situācija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Noteikumu Nr. 461 2. punktā ir noteikti pārtikas kvalitātes shēmu veidi un dota atsauce uz  Eiropas Parlamenta un Padomes 2013. gada 17. decembra Regulas (ES) Nr. 1305/2013 par atbalstu lauku attīstībai no Eiropas Lauksaimniecības fonda lauku attīstībai (ELFLA) un ar ko atceļ Padomes Regulu (EK) Nr. 1698/2005 (turpmāk - Regula Nr. 1305/2013) , 16. panta 1. punkta "a" un "b" apakšpunktu. Savukārt minētajās Regulas Nr. 1305/2013 normās ir dotas atsauces uz konkrētām ES regulām, saskaņā ar kurām tiek izveidotas ES pārtikas kvalitātes shēmas-bioloģiskās lauksaimniecības shēma, aizsargātu ģeogrāfiskās izcelsmes norāžu, cilmes vietas nosaukumu, garantēto tradicionālo īpatnību shēmas, kā arī valsts atzīta nacionālālā pārtikas kvalitātes shēma.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Noteikumu Nr. 461 pielikumos ir noteiktas nacionālās pārtikas kvalitātes shēmas prasības dažādiem produktu veidiem. Lai veicinātu ražotāju iesaistīšanos nacionālajā pārtikas kvalitātes shēmā, regulāri tiek izstrādāti kvalitātes kritēriji jauniem produktiem.</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Problēmas un risinājumi</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Problēmas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Ir stājusies spēkā Regula 2021/2115, kas atceļ Regulu Nr. 1305/2013, uz kuru ir atsauce noteikumu Nr. 461 2. punktā attiecībā uz kvalitātes shēmu atbilstību.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Noteikumos Nr. 461 jāiekļauj atsauces uz spēkā esošiem ES tieši piemērojamiem tiesību aktiem, saskaņā ar kuriem tiek izveidotas pārtikas kvalitātes shēmas.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Risinājuma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Noteikumu Nr. 461 2. punktā patlaban dotā atsauce uz Regulu Nr. 1305/2013 jāaizstāj ar atsaucēm uz ES tieši piemērojamiem tiesību aktiem, kas reglamentē pārtikas kvalitātes shēmu izveidošanu.</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Ņemot vērā to, ka atsauce uz Eiropas Parlamenta un Padomes 2012. gada 21. novembra Regulu (ES) Nr. 1151/2012 par lauksaimniecības produktu un pārtikas produktu kvalitātes shēmām tiek minēta atkārtoti un noteikumu Nr. 461 2.2.1. apakšpunktā noteikts turpmāk lietojamais saīsinājums, 3.</w:t>
      </w:r>
      <w:r w:rsidR="00000000" w:rsidRPr="00000000" w:rsidDel="00000000">
        <w:rPr>
          <w:vertAlign w:val="superscript"/>
          <w:rtl w:val="0"/>
        </w:rPr>
        <w:t xml:space="preserve">1</w:t>
      </w:r>
      <w:r w:rsidR="00000000" w:rsidRPr="00000000" w:rsidDel="00000000">
        <w:rPr>
          <w:rtl w:val="0"/>
        </w:rPr>
        <w:t xml:space="preserve">3. apakšpunktā jāizdara redakcionāls precizējums, aizstājot pilno regulas nosaukumu ar saīsināto.</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Problēmas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Šobrīd saskaņā ar noteikumu Nr. 461 6. pielikuma III nodaļas 11.2. apakšpunktu mitruma saturs gatavajā produktā - pusžāvētajās desās - nedrīkst pārsniegt 45 %. Ņemot vērā tehnoloģiju iespējas un organoleptiskās īpašības, nepieciešams grozīt mitruma satura procentuālo īpatsvaru.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Risinājuma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Noteikumu projektā paredzēts grozīt noteikto kvalitātes rādītāju, nosakot, ka mitruma saturs pusžāvētās desās nepārsniedz 65 % (noteikumu projekta 3. punkts (noteikumu Nr. 461 6. pielikuma III nodaļas 11.2. apakšpunkts)).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Problēmas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Patlaban noteikumos Nr. 461 ir noteiktas kvalitātes prasības olām, bet tās nav noteiktas olu pulverim. Lai veicinātu ražotāju iesaistīšanos nacionālajā pārtikas kvalitātes shēmā, nepieciešams izstrādāt kvalitātes prasības jaunam produktam - olu pulverim. </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Risinājuma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Kvalitātes prasības olu pulverim jānosaka noteikumu Nr. 461 11. pielikumā, to papildinot ar jaunu 7.punktu (noteikumu projekta 4. punkts). Ņemot vērā Tiesību aktu portāla tehniskos risinājumus, minētais pielikums jāizsaka jaunā redakcijā, līdz ar to pielikumā tiek grozīta esošo punktu numerācija.</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ir izvērtēti alternatīvie risinājumi?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ir izvērtēts prasību un izmaksu samērīgums pret ieguvumiem?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1.4. Izvērtējumi/pētījumi, kas pamato TA nepieciešamību</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1.5. Pēcpārbaudes (ex-post) izvērtējums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tiks veikts?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1.6. Cita informācija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2. Tiesību akta projekta ietekmējamās sabiedrības grupas, ietekme uz tautsaimniecības attīstību un administratīvo slogu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Jā</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2.1. Sabiedrības grupas, kuras tiesiskais regulējums ietekmē, vai varētu ietekmēt</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Fiziskās personas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Juridiskās personas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pārtikas uzņēmumi, kas iesaistījušies pārtikas kvalitātes shēmās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Ietekmes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Noteikumu projekts ietekmēs vairāk nekā 5656 pārtikas kvalitātes shēmās iesaistītos dalībniekus.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2.2. Tiesiskā regulējuma ietekme uz tautsaimniecību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Jā</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2.2.1. uz makroekonomisko vidi: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2.2.2. uz nozaru konkurētspēju: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2.2.3. uz uzņēmējdarbības vidi: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Jā</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Ietekmes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Operatoriem (ražotājiem) ir dota iespēja ražot kvalitatīvus vietējos produktus un piedalīties pārtikas kvalitātes shēmās, kā arī patērētājiem saņemt kvalitatīvus vietējos produktus. Normu ieviešana patērētājiem dos iespēju saņemt vairāk jaunu pārtikas kvalitātes shēmu produktu. Operatoriem nav paredzama administratīvā sloga palielināšanās, jo dalība pārtikas kvalitātes shēmās ir brīvprātīga.</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2.2.4. uz mazajiem un vidējiem uzņēmējiem: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2.2.5. uz konkurenci: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2.2.6. uz nodarbinātību: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2.3. Administratīvo izmaksu monetārs novērtējums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2.4. Atbilstības izmaksu monetārs novērtējums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3. Tiesību akta projekta ietekme uz valsts budžetu un pašvaldību budžetiem</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Cita informācija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4. Tiesību akta projekta ietekme uz spēkā esošo tiesību normu sistēmu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4.2. Cita informācija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5. Tiesību akta projekta atbilstība Latvijas Republikas starptautiskajām saistībām</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Jā</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5.1. Saistības pret Eiropas Savienību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ir attiecināms?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Jā</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ES tiesību akta CELEX numurs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32018R0848</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ES tiesību akta datums, izdevējinstitūcija, numurs, veids un nosaukums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Eiropas Parlamenta un Padomes  2018.gada 30.maija regula (ES) 2018/848 par bioloģisko ražošanu un bioloģisko produktu marķēšanu un ar ko atceļ Padomes Regulu (EK) Nr. 834/2007</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Saskaņā ar Regulā noteiktajām prasībām tiek izveidota ES bioloģiskās lauksaimniecības shēma.</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ES tiesību akta CELEX numurs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32012R1151</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ES tiesību akta datums, izdevējinstitūcija, numurs, veids un nosaukums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Eiropas Parlamenta un Padomes 2012. gada 21. novembra Regula (ES) Nr. 1151/2012 par lauksaimniecības produktu un pārtikas produktu kvalitātes shēmām</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Saskaņā ar Regulā noteiktajām prasībām tiek izveidota-aizsargātu ģeogrāfiskās izcelsmes norāžu, aizsargātu cilmes vietas nosaukumu un garantēto tradicionālo īpatnību shēmas lauksaimniecības produktiem un pārtikai.</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ES tiesību akta CELEX numurs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32019R0787</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ES tiesību akta datums, izdevējinstitūcija, numurs, veids un nosaukums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Eiropas Parlamenta un Padomes 2019. gada 17. aprīļa Regula (ES) 2019/787 par stipro alkoholisko dzērienu definīciju, aprakstu, noformējumu un marķējumu, stipro alkoholisko dzērienu nosaukumu lietošanu citu pārtikas produktu noformējumā un marķējumā, stipro alkoholisko dzērienu ģeogrāfiskās izcelsmes norāžu aizsardzību, lauksaimnieciskas izcelsmes etilspirta un destilātu izmantošanu alkoholiskajos dzērienos un ar ko atceļ Regulu (EK) Nr. 110/2008</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Saskaņā ar Regulā noteiktajām prasībām tiek izveidota  ģeogrāfiskās izcelsmes norāžu, cilmes vietas nosaukumu shēma  stipriem alkoholiskajiem  dzērieniem. </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ES tiesību akta CELEX numurs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32013R1308</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ES tiesību akta datums, izdevējinstitūcija, numurs, veids un nosaukums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Eiropas Parlamenta un Padomes 2013. gada 17. decembra Regulai (ES) Nr. 1308/2013, ar ko izveido lauksaimniecības produktu tirgu kopīgu organizāciju un atceļ Padomes Regulas (EEK) Nr. 922/72, (EEK) Nr. 234/79, (EK) Nr. 1037/2001 un (EK) Nr. 1234/2007</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Saskaņā ar Regulā noteiktajām prasībām tiek izveidota  ģeogrāfiskās izcelsmes norāžu, cilmes vietas nosaukumu shēma  vīniem.</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ES tiesību akta CELEX numurs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32014R0251</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ES tiesību akta datums, izdevējinstitūcija, numurs, veids un nosaukums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Eiropas Parlamenta un Padomes 2014. gada 26. februāra Regulai (ES) Nr. 251/2014 par aromatizētu vīna produktu definīciju, aprakstu, noformējumu, marķējumu un ģeogrāfiskās izcelsmes norāžu aizsardzību un ar ko atceļ Padomes Regulu (EEK) Nr. 1601/91</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Saskaņā ar Regulā noteiktajām prasībām tiek izveidota  ģeogrāfiskās izcelsmes norāžu, cilmes vietas nosaukumu shēma  aromatizētiem vīniem.</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ES tiesību akta CELEX numurs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32022R0126</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ES tiesību akta datums, izdevējinstitūcija, numurs, veids un nosaukums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Komisijas  2021.gada 7.decembra Deleģētā  regula (ES) 2022/126 ar ko Eiropas Parlamenta un Padomes Regulu (ES) 2021/2115 papildina ar prasībām, kuras piemērojamas konkrētu veidu intervences pasākumiem, ko dalībvalstis savos KLP stratēģiskajos plānos 2023.–2027. gadam noteikušas atbilstīgi minētajai regulai, kā arī ar noteikumiem par īpatsvaru, ko piemēro laba lauksaimnieciskā un vidiskā stāvokļa (LLVS) 1. standarta vajadzībām.</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Regulā noteiktas prasības nacionālajai pārtikas kvalitātes shēmai.</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ES tiesību akta CELEX numurs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32014R0668</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ES tiesību akta datums, izdevējinstitūcija, numurs, veids un nosaukums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Komisijas 2014. gada 13. jūnija Īstenošanas regulas (ES) Nr. 668/2014, ar ko paredz noteikumus par to, kā piemērot Eiropas Parlamenta un Padomes Regulu (ES) Nr. 1151/2012 par lauksaimniecības produktu un pārtikas produktu kvalitātes shēmām.</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Saskaņā ar Regulā noteiktajām prasībām tiek izveidotas  ģeogrāfiskās izcelsmes norāžu, cilmes vietas nosaukumu un garantēto tradicionālo īpatnību shēmas. </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5.2. Citas starptautiskās saistības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ir attiecināms?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5.3. Cita informācija</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5.4. 1. tabula. Tiesību akta projekta atbilstība ES tiesību aktiem</w:t>
      </w:r>
    </w:p>
    <w:tbl>
      <w:tblPr>
        <w:tblStyle w:val="DefaultTable"/>
        <w:bidiVisual w:val="0"/>
        <w:tblW w:w="9642.0" w:type="dxa"/>
        <w:tblInd w:w="0.0" w:type="dxa"/>
        <w:jc w:val="left"/>
        <w:tblBorders>
          <w:top w:color="auto" w:val="single" w:sz="5" w:space="0"/>
          <w:left w:color="auto" w:val="single" w:sz="5" w:space="0"/>
          <w:bottom w:color="auto" w:val="single" w:sz="5" w:space="0"/>
          <w:right w:color="auto" w:val="single" w:sz="5" w:space="0"/>
          <w:insideH w:color="auto" w:val="single" w:sz="5" w:space="0"/>
          <w:insideV w:color="auto" w:val="single" w:sz="5" w:space="0"/>
        </w:tblBorders>
        <w:tblLayout w:type="fixed"/>
        <w:tblLook w:val="0600"/>
      </w:tblPr>
      <w:tblGrid>
        <w:gridCol w:w="2410"/>
        <w:gridCol w:w="2410"/>
        <w:gridCol w:w="2410"/>
        <w:gridCol w:w="2410"/>
        <w:tblGridChange w:id="0">
          <w:tblGrid>
            <w:gridCol w:w="2410"/>
            <w:gridCol w:w="2410"/>
            <w:gridCol w:w="2410"/>
            <w:gridCol w:w="2410"/>
          </w:tblGrid>
        </w:tblGridChange>
      </w:tblGrid>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Attiecīgā ES tiesību akta datums, izdevējinstitūcija, numurs, veids un nosaukums</w:t>
            </w:r>
          </w:p>
        </w:tc>
        <w:tc>
          <w:tcPr>
            <w:shd w:fill="ffffff"/>
            <w:vAlign w:val="center"/>
            <w:noWrap w:val="true"/>
            <w:gridSpan w:val="3"/>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Eiropas Parlamenta un Padomes  2018.gada 30.maija regula (ES) 2018/848 par bioloģisko ražošanu un bioloģisko produktu marķēšanu un ar ko atceļ Padomes Regulu (EK) Nr. 834/2007</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ES TA panta numurs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Projekta vienība, kas pārņem vai ievieš A minēto</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Tiek pārņemts pilnībā vai daļēji</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Vai B minētais paredz stingrākas prasības un pamatojums</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B</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C</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D</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Regula Nr. 2018/848</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1.punkts(noteikumu Nr.461.2.1.apakšpunkts)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Pārņemtas pilnībā</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Neparedz stingrākas prasības</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Kā ir izmantota ES tiesību aktā paredzētā rīcības brīvība dalībvalstij pārņemt vai ieviest noteiktas ES tiesību akta normas? Kādēļ?</w:t>
            </w:r>
          </w:p>
        </w:tc>
        <w:tc>
          <w:tcPr>
            <w:shd w:fill="ffffff"/>
            <w:vAlign w:val="center"/>
            <w:noWrap w:val="true"/>
            <w:gridSpan w:val="3"/>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Projekts šo jomu neskar.</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Saistības sniegt paziņojumu ES institūcijām un ES dalībvalstīm atbilstoši normatīvajiem aktiem, kas regulē informācijas sniegšanu par tehnisko noteikumu, valsts atbalsta piešķiršanas un finanšu noteikumu (attiecībā uz monetāro politiku) projektiem</w:t>
            </w:r>
          </w:p>
        </w:tc>
        <w:tc>
          <w:tcPr>
            <w:shd w:fill="ffffff"/>
            <w:vAlign w:val="center"/>
            <w:noWrap w:val="true"/>
            <w:gridSpan w:val="3"/>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Projekts šo jomu neskar.</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Cita informācija</w:t>
            </w:r>
          </w:p>
        </w:tc>
        <w:tc>
          <w:tcPr>
            <w:shd w:fill="ffffff"/>
            <w:vAlign w:val="center"/>
            <w:noWrap w:val="true"/>
            <w:gridSpan w:val="3"/>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Nav</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Attiecīgā ES tiesību akta datums, izdevējinstitūcija, numurs, veids un nosaukums</w:t>
            </w:r>
          </w:p>
        </w:tc>
        <w:tc>
          <w:tcPr>
            <w:shd w:fill="ffffff"/>
            <w:vAlign w:val="center"/>
            <w:noWrap w:val="true"/>
            <w:gridSpan w:val="3"/>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Eiropas Parlamenta un Padomes 2012. gada 21. novembra Regula (ES) Nr. 1151/2012 par lauksaimniecības produktu un pārtikas produktu kvalitātes shēmām</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ES TA panta numurs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Projekta vienība, kas pārņem vai ievieš A minēto</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Tiek pārņemts pilnībā vai daļēji</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Vai B minētais paredz stingrākas prasības un pamatojums</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B</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C</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D</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Regula Nr. 1151/2012 </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1.punkts(noteikumu Nr.461. 2.2.1. un 2.3.apakšpunkts)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Pārņemtas pilnībā</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Neparedz stingrākas prasības</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12. un 23. pants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2.punkts(noteikumu Nr.461.3.</w:t>
            </w:r>
            <w:r w:rsidR="00000000" w:rsidRPr="00000000" w:rsidDel="00000000">
              <w:rPr>
                <w:sz w:val="24"/>
                <w:vertAlign w:val="superscript"/>
                <w:rtl w:val="0"/>
              </w:rPr>
              <w:t xml:space="preserve">1</w:t>
            </w:r>
            <w:r w:rsidR="00000000" w:rsidRPr="00000000" w:rsidDel="00000000">
              <w:rPr>
                <w:sz w:val="24"/>
                <w:rtl w:val="0"/>
              </w:rPr>
              <w:t xml:space="preserve">3. apakšpunkts)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Pārņemtas pilnībā</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Neparedz stingrākas prasības</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Kā ir izmantota ES tiesību aktā paredzētā rīcības brīvība dalībvalstij pārņemt vai ieviest noteiktas ES tiesību akta normas? Kādēļ?</w:t>
            </w:r>
          </w:p>
        </w:tc>
        <w:tc>
          <w:tcPr>
            <w:shd w:fill="ffffff"/>
            <w:vAlign w:val="center"/>
            <w:noWrap w:val="true"/>
            <w:gridSpan w:val="3"/>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Saistības sniegt paziņojumu ES institūcijām un ES dalībvalstīm atbilstoši normatīvajiem aktiem, kas regulē informācijas sniegšanu par tehnisko noteikumu, valsts atbalsta piešķiršanas un finanšu noteikumu (attiecībā uz monetāro politiku) projektiem</w:t>
            </w:r>
          </w:p>
        </w:tc>
        <w:tc>
          <w:tcPr>
            <w:shd w:fill="ffffff"/>
            <w:vAlign w:val="center"/>
            <w:noWrap w:val="true"/>
            <w:gridSpan w:val="3"/>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Cita informācija</w:t>
            </w:r>
          </w:p>
        </w:tc>
        <w:tc>
          <w:tcPr>
            <w:shd w:fill="ffffff"/>
            <w:vAlign w:val="center"/>
            <w:noWrap w:val="true"/>
            <w:gridSpan w:val="3"/>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Attiecīgā ES tiesību akta datums, izdevējinstitūcija, numurs, veids un nosaukums</w:t>
            </w:r>
          </w:p>
        </w:tc>
        <w:tc>
          <w:tcPr>
            <w:shd w:fill="ffffff"/>
            <w:vAlign w:val="center"/>
            <w:noWrap w:val="true"/>
            <w:gridSpan w:val="3"/>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Eiropas Parlamenta un Padomes 2019. gada 17. aprīļa Regula (ES) 2019/787 par stipro alkoholisko dzērienu definīciju, aprakstu, noformējumu un marķējumu, stipro alkoholisko dzērienu nosaukumu lietošanu citu pārtikas produktu noformējumā un marķējumā, stipro alkoholisko dzērienu ģeogrāfiskās izcelsmes norāžu aizsardzību, lauksaimnieciskas izcelsmes etilspirta un destilātu izmantošanu alkoholiskajos dzērienos un ar ko atceļ Regulu (EK) Nr. 110/2008</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ES TA panta numurs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Projekta vienība, kas pārņem vai ievieš A minēto</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Tiek pārņemts pilnībā vai daļēji</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Vai B minētais paredz stingrākas prasības un pamatojums</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B</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C</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D</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Regula Nr. 2019/787 </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1.punkts(noteikumu Nr.461. 2.2.2.apakšpunkts)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Pārņemtas pilnībā</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Neparedz stingrākas prasības</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Kā ir izmantota ES tiesību aktā paredzētā rīcības brīvība dalībvalstij pārņemt vai ieviest noteiktas ES tiesību akta normas? Kādēļ?</w:t>
            </w:r>
          </w:p>
        </w:tc>
        <w:tc>
          <w:tcPr>
            <w:shd w:fill="ffffff"/>
            <w:vAlign w:val="center"/>
            <w:noWrap w:val="true"/>
            <w:gridSpan w:val="3"/>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Projekts šo jomu neskar.</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Saistības sniegt paziņojumu ES institūcijām un ES dalībvalstīm atbilstoši normatīvajiem aktiem, kas regulē informācijas sniegšanu par tehnisko noteikumu, valsts atbalsta piešķiršanas un finanšu noteikumu (attiecībā uz monetāro politiku) projektiem</w:t>
            </w:r>
          </w:p>
        </w:tc>
        <w:tc>
          <w:tcPr>
            <w:shd w:fill="ffffff"/>
            <w:vAlign w:val="center"/>
            <w:noWrap w:val="true"/>
            <w:gridSpan w:val="3"/>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Projekts šo jomu neskar.</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Cita informācija</w:t>
            </w:r>
          </w:p>
        </w:tc>
        <w:tc>
          <w:tcPr>
            <w:shd w:fill="ffffff"/>
            <w:vAlign w:val="center"/>
            <w:noWrap w:val="true"/>
            <w:gridSpan w:val="3"/>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Nav.</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Attiecīgā ES tiesību akta datums, izdevējinstitūcija, numurs, veids un nosaukums</w:t>
            </w:r>
          </w:p>
        </w:tc>
        <w:tc>
          <w:tcPr>
            <w:shd w:fill="ffffff"/>
            <w:vAlign w:val="center"/>
            <w:noWrap w:val="true"/>
            <w:gridSpan w:val="3"/>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Eiropas Parlamenta un Padomes 2013. gada 17. decembra Regulai (ES) Nr. 1308/2013, ar ko izveido lauksaimniecības produktu tirgu kopīgu organizāciju un atceļ Padomes Regulas (EEK) Nr. 922/72, (EEK) Nr. 234/79, (EK) Nr. 1037/2001 un (EK) Nr. 1234/2007</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ES TA panta numurs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Projekta vienība, kas pārņem vai ievieš A minēto</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Tiek pārņemts pilnībā vai daļēji</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Vai B minētais paredz stingrākas prasības un pamatojums</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B</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C</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D</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 II daļas, II sadaļas, I nodaļas 2. iedaļa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1.punkts (noteikumu Nr.461.2.2.3. apakšpunkts)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Pārņemtas pilnībā</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Neparedz stingrākas prasības</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Kā ir izmantota ES tiesību aktā paredzētā rīcības brīvība dalībvalstij pārņemt vai ieviest noteiktas ES tiesību akta normas? Kādēļ?</w:t>
            </w:r>
          </w:p>
        </w:tc>
        <w:tc>
          <w:tcPr>
            <w:shd w:fill="ffffff"/>
            <w:vAlign w:val="center"/>
            <w:noWrap w:val="true"/>
            <w:gridSpan w:val="3"/>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Projekts šo jomu neskar.</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Saistības sniegt paziņojumu ES institūcijām un ES dalībvalstīm atbilstoši normatīvajiem aktiem, kas regulē informācijas sniegšanu par tehnisko noteikumu, valsts atbalsta piešķiršanas un finanšu noteikumu (attiecībā uz monetāro politiku) projektiem</w:t>
            </w:r>
          </w:p>
        </w:tc>
        <w:tc>
          <w:tcPr>
            <w:shd w:fill="ffffff"/>
            <w:vAlign w:val="center"/>
            <w:noWrap w:val="true"/>
            <w:gridSpan w:val="3"/>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Projekts šo jomu neskar.</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Cita informācija</w:t>
            </w:r>
          </w:p>
        </w:tc>
        <w:tc>
          <w:tcPr>
            <w:shd w:fill="ffffff"/>
            <w:vAlign w:val="center"/>
            <w:noWrap w:val="true"/>
            <w:gridSpan w:val="3"/>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Nav</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Attiecīgā ES tiesību akta datums, izdevējinstitūcija, numurs, veids un nosaukums</w:t>
            </w:r>
          </w:p>
        </w:tc>
        <w:tc>
          <w:tcPr>
            <w:shd w:fill="ffffff"/>
            <w:vAlign w:val="center"/>
            <w:noWrap w:val="true"/>
            <w:gridSpan w:val="3"/>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Eiropas Parlamenta un Padomes 2014. gada 26. februāra Regulai (ES) Nr. 251/2014 par aromatizētu vīna produktu definīciju, aprakstu, noformējumu, marķējumu un ģeogrāfiskās izcelsmes norāžu aizsardzību un ar ko atceļ Padomes Regulu (EEK) Nr. 1601/91</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ES TA panta numurs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Projekta vienība, kas pārņem vai ievieš A minēto</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Tiek pārņemts pilnībā vai daļēji</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Vai B minētais paredz stingrākas prasības un pamatojums</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B</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C</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D</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Regula Nr. 251/2014</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1.punkts(noteikumu Nr.461. 2.2.4.apakšpunkts)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Pārņemtas pilnībā</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Neparedz stingrākas prasības</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Kā ir izmantota ES tiesību aktā paredzētā rīcības brīvība dalībvalstij pārņemt vai ieviest noteiktas ES tiesību akta normas? Kādēļ?</w:t>
            </w:r>
          </w:p>
        </w:tc>
        <w:tc>
          <w:tcPr>
            <w:shd w:fill="ffffff"/>
            <w:vAlign w:val="center"/>
            <w:noWrap w:val="true"/>
            <w:gridSpan w:val="3"/>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Projekts šo jomu neskar.</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Saistības sniegt paziņojumu ES institūcijām un ES dalībvalstīm atbilstoši normatīvajiem aktiem, kas regulē informācijas sniegšanu par tehnisko noteikumu, valsts atbalsta piešķiršanas un finanšu noteikumu (attiecībā uz monetāro politiku) projektiem</w:t>
            </w:r>
          </w:p>
        </w:tc>
        <w:tc>
          <w:tcPr>
            <w:shd w:fill="ffffff"/>
            <w:vAlign w:val="center"/>
            <w:noWrap w:val="true"/>
            <w:gridSpan w:val="3"/>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Projekts šo jomu neskar.</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Cita informācija</w:t>
            </w:r>
          </w:p>
        </w:tc>
        <w:tc>
          <w:tcPr>
            <w:shd w:fill="ffffff"/>
            <w:vAlign w:val="center"/>
            <w:noWrap w:val="true"/>
            <w:gridSpan w:val="3"/>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Nav.</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Attiecīgā ES tiesību akta datums, izdevējinstitūcija, numurs, veids un nosaukums</w:t>
            </w:r>
          </w:p>
        </w:tc>
        <w:tc>
          <w:tcPr>
            <w:shd w:fill="ffffff"/>
            <w:vAlign w:val="center"/>
            <w:noWrap w:val="true"/>
            <w:gridSpan w:val="3"/>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Komisijas  2021.gada 7.decembra Deleģētā  regula (ES) 2022/126 ar ko Eiropas Parlamenta un Padomes Regulu (ES) 2021/2115 papildina ar prasībām, kuras piemērojamas konkrētu veidu intervences pasākumiem, ko dalībvalstis savos KLP stratēģiskajos plānos 2023.–2027. gadam noteikušas atbilstīgi minētajai regulai, kā arī ar noteikumiem par īpatsvaru, ko piemēro laba lauksaimnieciskā un vidiskā stāvokļa (LLVS) 1. standarta vajadzībām.</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ES TA panta numurs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Projekta vienība, kas pārņem vai ievieš A minēto</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Tiek pārņemts pilnībā vai daļēji</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Vai B minētais paredz stingrākas prasības un pamatojums</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B</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C</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D</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Regulas  2022/126 47.panta a) apakšpunkts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1.punkts(noteikumu Nr.461. 2.4.apakšpunkts)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Pārņemtas pilnībā</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Neparedz stingrākas prasības</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Kā ir izmantota ES tiesību aktā paredzētā rīcības brīvība dalībvalstij pārņemt vai ieviest noteiktas ES tiesību akta normas? Kādēļ?</w:t>
            </w:r>
          </w:p>
        </w:tc>
        <w:tc>
          <w:tcPr>
            <w:shd w:fill="ffffff"/>
            <w:vAlign w:val="center"/>
            <w:noWrap w:val="true"/>
            <w:gridSpan w:val="3"/>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Projekts šo jomu neskar.</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Saistības sniegt paziņojumu ES institūcijām un ES dalībvalstīm atbilstoši normatīvajiem aktiem, kas regulē informācijas sniegšanu par tehnisko noteikumu, valsts atbalsta piešķiršanas un finanšu noteikumu (attiecībā uz monetāro politiku) projektiem</w:t>
            </w:r>
          </w:p>
        </w:tc>
        <w:tc>
          <w:tcPr>
            <w:shd w:fill="ffffff"/>
            <w:vAlign w:val="center"/>
            <w:noWrap w:val="true"/>
            <w:gridSpan w:val="3"/>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Projekts šo jomu neskar.</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Cita informācija</w:t>
            </w:r>
          </w:p>
        </w:tc>
        <w:tc>
          <w:tcPr>
            <w:shd w:fill="ffffff"/>
            <w:vAlign w:val="center"/>
            <w:noWrap w:val="true"/>
            <w:gridSpan w:val="3"/>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Nav.</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Attiecīgā ES tiesību akta datums, izdevējinstitūcija, numurs, veids un nosaukums</w:t>
            </w:r>
          </w:p>
        </w:tc>
        <w:tc>
          <w:tcPr>
            <w:shd w:fill="ffffff"/>
            <w:vAlign w:val="center"/>
            <w:noWrap w:val="true"/>
            <w:gridSpan w:val="3"/>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Komisijas 2014. gada 13. jūnija Īstenošanas regulas (ES) Nr. 668/2014, ar ko paredz noteikumus par to, kā piemērot Eiropas Parlamenta un Padomes Regulu (ES) Nr. 1151/2012 par lauksaimniecības produktu un pārtikas produktu kvalitātes shēmām.</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ES TA panta numurs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Projekta vienība, kas pārņem vai ievieš A minēto</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Tiek pārņemts pilnībā vai daļēji</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Vai B minētais paredz stingrākas prasības un pamatojums</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B</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C</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D</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Regula (ES) Nr. 668/2014 13. pants un X pielikums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 2.punkts (noteikumu Nr.461. 3.</w:t>
            </w:r>
            <w:r w:rsidR="00000000" w:rsidRPr="00000000" w:rsidDel="00000000">
              <w:rPr>
                <w:sz w:val="24"/>
                <w:vertAlign w:val="superscript"/>
                <w:rtl w:val="0"/>
              </w:rPr>
              <w:t xml:space="preserve">1</w:t>
            </w:r>
            <w:r w:rsidR="00000000" w:rsidRPr="00000000" w:rsidDel="00000000">
              <w:rPr>
                <w:sz w:val="24"/>
                <w:rtl w:val="0"/>
              </w:rPr>
              <w:t xml:space="preserve">3.apakšpunkts) </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Pārņemtas pilnībā</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Neparedz stingrākas prasības</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Kā ir izmantota ES tiesību aktā paredzētā rīcības brīvība dalībvalstij pārņemt vai ieviest noteiktas ES tiesību akta normas? Kādēļ?</w:t>
            </w:r>
          </w:p>
        </w:tc>
        <w:tc>
          <w:tcPr>
            <w:shd w:fill="ffffff"/>
            <w:vAlign w:val="center"/>
            <w:noWrap w:val="true"/>
            <w:gridSpan w:val="3"/>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Saistības sniegt paziņojumu ES institūcijām un ES dalībvalstīm atbilstoši normatīvajiem aktiem, kas regulē informācijas sniegšanu par tehnisko noteikumu, valsts atbalsta piešķiršanas un finanšu noteikumu (attiecībā uz monetāro politiku) projektiem</w:t>
            </w:r>
          </w:p>
        </w:tc>
        <w:tc>
          <w:tcPr>
            <w:shd w:fill="ffffff"/>
            <w:vAlign w:val="center"/>
            <w:noWrap w:val="true"/>
            <w:gridSpan w:val="3"/>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Cita informācija</w:t>
            </w:r>
          </w:p>
        </w:tc>
        <w:tc>
          <w:tcPr>
            <w:shd w:fill="ffffff"/>
            <w:vAlign w:val="center"/>
            <w:noWrap w:val="true"/>
            <w:gridSpan w:val="3"/>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r>
    </w:tbl>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6. Projekta izstrādē iesaistītās institūcijas un sabiedrības līdzdalības process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Sabiedrības līdzdalība uz šo tiesību akta projektu neattiecas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6.1. Projekta izstrādē iesaistītās institūcijas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Valsts un pašvaldību institūcijas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Nevalstiskās organizācijas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Latvijas Pārtikas uzņēmumu federācija</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Cits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6.2. Sabiedrības līdzdalības organizēšanas veidi</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Veids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Publiskā apspriešana</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Saite uz sabiedrības līdzdalības rezultātiem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6.3. Sabiedrības līdzdalības rezultāti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6.4. Cita informācija</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Cita informācija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7. Tiesību akta projekta izpildes nodrošināšana un tās ietekme uz institūcijām</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Jā</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7.1. Projekta izpildē iesaistītās institūcijas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Institūcijas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Pārtikas un veterinārais dienests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Bioloģiskās lauksaimniecības kontroles institūcija biedrības "Vides kvalitāte" sertifikācijas institūcija "Vides kvalitāte"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Bioloģiskās lauksaimniecības kontroles institūcijas sabiedrības ar ierobežotu atbildību "Sertifikācijas un testēšanas centrs" Bioloģiskās lauksaimniecības sektors</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7.2. Administratīvo izmaksu monetārs novērtējums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7.3. Atbilstības izmaksu monetārs novērtējums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7.4. Projekta izpildes ietekme uz pārvaldes funkcijām un institucionālo struktūru</w:t>
      </w:r>
    </w:p>
    <w:tbl>
      <w:tblPr>
        <w:tblStyle w:val="DefaultTable"/>
        <w:bidiVisual w:val="0"/>
        <w:tblW w:w="9642.0" w:type="dxa"/>
        <w:tblInd w:w="0.0" w:type="dxa"/>
        <w:jc w:val="left"/>
        <w:tblBorders>
          <w:top w:color="auto" w:val="single" w:sz="5" w:space="0"/>
          <w:left w:color="auto" w:val="single" w:sz="5" w:space="0"/>
          <w:bottom w:color="auto" w:val="single" w:sz="5" w:space="0"/>
          <w:right w:color="auto" w:val="single" w:sz="5" w:space="0"/>
          <w:insideH w:color="auto" w:val="single" w:sz="5" w:space="0"/>
          <w:insideV w:color="auto" w:val="single" w:sz="5" w:space="0"/>
        </w:tblBorders>
        <w:tblLayout w:type="fixed"/>
        <w:tblLook w:val="0600"/>
      </w:tblPr>
      <w:tblGrid>
        <w:gridCol w:w="4371"/>
        <w:gridCol w:w="900"/>
        <w:gridCol w:w="4371"/>
        <w:tblGridChange w:id="0">
          <w:tblGrid>
            <w:gridCol w:w="4371"/>
            <w:gridCol w:w="900"/>
            <w:gridCol w:w="4371"/>
          </w:tblGrid>
        </w:tblGridChange>
      </w:tblGrid>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Ietekme</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Jā/Nē</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Skaidrojums</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1. Tiks veidota jauna institūcija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Nē</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2. Tiks likvidēta institūcija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Nē</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3. Tiks veikta esošās institūcijas reorganizācija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Nē</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4. Institūcijas funkcijas un uzdevumi tiks mainīti (paplašināti vai sašaurināti)</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Nē</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5. Tiks veikta iekšējo institūcijas procesu efektivizācija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Nē</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6. Tiks veikta iekšējo institūcijas procesu digitalizācija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Nē</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7. Tiks veikta iekšējo institūcijas procesu optimizācija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Nē</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8. Cita informācija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Nē</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r>
    </w:tbl>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7.5. Cita informācija</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Cita informācija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8. Horizontālās ietekmes</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 Projekta tiesiskā regulējuma ietekme</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 uz publisku pakalpojumu attīstību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8.1.2. uz valsts un pašvaldību informācijas un komunikācijas tehnoloģiju attīstību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8.1.3. uz informācijas sabiedrības politikas īstenošanu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8.1.4. uz Nacionālā attīstības plāna rādītājiem</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8.1.5. uz teritoriju attīstību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8.1.6. uz vidi</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8.1.7. uz klimatneitralitāti</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8.1.8. uz iedzīvotāju sociālo situāciju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8.1.9. uz personu ar invaliditāti vienlīdzīgām iespējām un tiesībām</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8.1.10. uz dzimumu līdztiesību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8.1.11. uz veselību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Jā</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Patērētajiem iespēja izvēlēties kvalitatīvus vietējos pārtikas produktus.</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8.1.12. uz cilvēktiesībām, demokrātiskām vērtībām un pilsoniskās sabiedrības attīstību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8.1.13. uz datu aizsardzību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8.1.14. uz diasporu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8.1.15. uz profesiju reglamentāciju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8.1.16. uz bērna labākajām interesēm</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8.2. Cita informācija</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Cita informācija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sectPr>
      <w:headerReference r:id="rId7" w:type="default"/>
      <w:headerReference r:id="rId8" w:type="first"/>
      <w:footerReference r:id="rId2" w:type="default"/>
      <w:footerReference r:id="rId3" w:type="first"/>
      <w:titlePg w:val="true"/>
      <w:pgSz w:w="11908" w:h="16833" w:orient="portrait"/>
      <w:pgMar w:top="1133" w:bottom="1133" w:left="1133" w:right="1133"/>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font w:name="Arial"/>
  <w:font w:name="Trebuchet MS"/>
</w:fonts>
</file>

<file path=word/footer1.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contextualSpacing w:val="0"/>
      <w:jc w:val="right"/>
    </w:pPr>
    <w:r w:rsidR="00000000" w:rsidRPr="00000000" w:rsidDel="00000000">
      <w:rPr>
        <w:sz w:val="24"/>
        <w:szCs w:val="24"/>
      </w:rPr>
      <w:fldChar w:fldCharType="begin"/>
      <w:instrText xml:space="preserve">PAGE</w:instrText>
      <w:fldChar w:fldCharType="end"/>
    </w:r>
    <w:r w:rsidR="00000000" w:rsidRPr="00000000" w:rsidDel="00000000">
      <w:rPr>
        <w:rtl w:val="0"/>
      </w:rPr>
    </w:r>
  </w:p>
</w:ftr>
</file>

<file path=word/footer2.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header1.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Anotācija (ex-ante) 22-TA-3194</w:t>
    </w:r>
    <w:r>
      <w:br/>
    </w:r>
    <w:r w:rsidR="00000000" w:rsidRPr="00000000" w:rsidDel="00000000">
      <w:rPr>
        <w:rtl w:val="0"/>
      </w:rPr>
      <w:t xml:space="preserve">Izdrukāts 29.07.2026. 21.25 - 4.0 Redakcija</w:t>
    </w:r>
  </w:p>
</w:hdr>
</file>

<file path=word/header2.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Anotācija (ex-ante) 22-TA-3194</w:t>
    </w:r>
    <w:r>
      <w:br/>
    </w:r>
    <w:r w:rsidR="00000000" w:rsidRPr="00000000" w:rsidDel="00000000">
      <w:rPr>
        <w:rtl w:val="0"/>
      </w:rPr>
      <w:t xml:space="preserve">Izdrukāts 29.07.2026. 21.25 - 4.0 Redakcija</w:t>
    </w:r>
  </w:p>
</w:hdr>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isplayBackgroundShape w:val="1"/>
  <w:defaultTabStop w:val="720"/>
  <w:compat>
    <w:compatSetting w:val="14" w:name="compatibilityMode" w:uri="http://schemas.microsoft.com/office/word"/>
  </w:compa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ocDefaults>
    <w:rPrDefault>
      <w:rPr>
        <w:rFonts w:cs="Times New Roman" w:hAnsi="Times New Roman" w:eastAsia="Times New Roman" w:ascii="Times New Roman"/>
        <w:b w:val="0"/>
        <w:i w:val="0"/>
        <w:caps w:val="0"/>
        <w:smallCaps w:val="0"/>
        <w:strike w:val="0"/>
        <w:color w:val="333333"/>
        <w:sz w:val="28"/>
        <w:u w:val="none"/>
        <w:vertAlign w:val="baseline"/>
        <w:lang w:val="lv-LV"/>
      </w:rPr>
    </w:rPrDefault>
    <w:pPrDefault>
      <w:pPr>
        <w:keepNext w:val="0"/>
        <w:keepLines w:val="0"/>
        <w:widowControl w:val="1"/>
        <w:spacing w:lineRule="auto" w:before="0" w:after="0" w:line="240"/>
        <w:ind w:left="0" w:right="0" w:firstLine="0"/>
        <w:jc w:val="both"/>
      </w:pPr>
    </w:pPrDefault>
  </w:docDefaults>
  <w:style w:styleId="Normal" w:type="paragraph" w:default="1">
    <w:name w:val="normal"/>
  </w:style>
  <w:style w:styleId="TableNormal" w:type="table" w:default="1">
    <w:name w:val="Table Normal"/>
    <w:pPr>
      <w:spacing w:lineRule="auto" w:line="644.0" w:before="0" w:after="0"/>
    </w:pPr>
  </w:style>
  <w:style w:styleId="Heading1" w:type="paragraph">
    <w:name w:val="heading 1"/>
    <w:basedOn w:val="Normal"/>
    <w:next w:val="Normal"/>
    <w:pPr>
      <w:keepNext w:val="0"/>
      <w:keepLines w:val="0"/>
      <w:widowControl w:val="1"/>
      <w:spacing w:lineRule="auto" w:after="120"/>
      <w:contextualSpacing w:val="1"/>
    </w:pPr>
    <w:rPr>
      <w:rFonts w:cs="Palatino" w:hAnsi="Palatino" w:eastAsia="Palatino" w:ascii="Palatino"/>
      <w:sz w:val="36"/>
    </w:rPr>
  </w:style>
  <w:style w:styleId="Heading2" w:type="paragraph">
    <w:name w:val="heading 2"/>
    <w:basedOn w:val="Normal"/>
    <w:next w:val="Normal"/>
    <w:pPr>
      <w:keepNext w:val="0"/>
      <w:keepLines w:val="0"/>
      <w:widowControl w:val="1"/>
      <w:spacing w:lineRule="auto" w:before="120" w:after="160"/>
      <w:contextualSpacing w:val="1"/>
    </w:pPr>
    <w:rPr>
      <w:rFonts w:cs="Arial" w:hAnsi="Arial" w:eastAsia="Arial" w:ascii="Arial"/>
      <w:b w:val="1"/>
      <w:sz w:val="26"/>
    </w:rPr>
  </w:style>
  <w:style w:styleId="Heading3" w:type="paragraph">
    <w:name w:val="heading 3"/>
    <w:basedOn w:val="Normal"/>
    <w:next w:val="Normal"/>
    <w:pPr>
      <w:keepNext w:val="0"/>
      <w:keepLines w:val="0"/>
      <w:widowControl w:val="1"/>
      <w:spacing w:lineRule="auto" w:before="120" w:after="160"/>
      <w:contextualSpacing w:val="1"/>
    </w:pPr>
    <w:rPr>
      <w:rFonts w:cs="Arial" w:hAnsi="Arial" w:eastAsia="Arial" w:ascii="Arial"/>
      <w:b w:val="1"/>
      <w:i w:val="1"/>
      <w:color w:val="666666"/>
      <w:sz w:val="24"/>
    </w:rPr>
  </w:style>
  <w:style w:styleId="Heading4" w:type="paragraph">
    <w:name w:val="heading 4"/>
    <w:basedOn w:val="Normal"/>
    <w:next w:val="Normal"/>
    <w:pPr>
      <w:keepNext w:val="0"/>
      <w:keepLines w:val="0"/>
      <w:widowControl w:val="1"/>
      <w:spacing w:lineRule="auto" w:before="120" w:after="120"/>
      <w:contextualSpacing w:val="1"/>
    </w:pPr>
    <w:rPr>
      <w:rFonts w:cs="Palatino" w:hAnsi="Palatino" w:eastAsia="Palatino" w:ascii="Palatino"/>
      <w:b w:val="1"/>
      <w:sz w:val="24"/>
    </w:rPr>
  </w:style>
  <w:style w:styleId="Heading5" w:type="paragraph">
    <w:name w:val="heading 5"/>
    <w:basedOn w:val="Normal"/>
    <w:next w:val="Normal"/>
    <w:pPr>
      <w:keepNext w:val="0"/>
      <w:keepLines w:val="0"/>
      <w:widowControl w:val="1"/>
      <w:spacing w:lineRule="auto" w:before="120" w:after="120"/>
      <w:contextualSpacing w:val="1"/>
    </w:pPr>
    <w:rPr>
      <w:rFonts w:cs="Arial" w:hAnsi="Arial" w:eastAsia="Arial" w:ascii="Arial"/>
      <w:b w:val="1"/>
      <w:sz w:val="22"/>
    </w:rPr>
  </w:style>
  <w:style w:styleId="Heading6" w:type="paragraph">
    <w:name w:val="heading 6"/>
    <w:basedOn w:val="Normal"/>
    <w:next w:val="Normal"/>
    <w:pPr>
      <w:keepNext w:val="0"/>
      <w:keepLines w:val="0"/>
      <w:widowControl w:val="1"/>
      <w:spacing w:lineRule="auto" w:before="120" w:after="120"/>
      <w:contextualSpacing w:val="1"/>
    </w:pPr>
    <w:rPr>
      <w:rFonts w:cs="Arial" w:hAnsi="Arial" w:eastAsia="Arial" w:ascii="Arial"/>
      <w:i w:val="1"/>
      <w:color w:val="666666"/>
      <w:sz w:val="22"/>
      <w:u w:val="single"/>
    </w:rPr>
  </w:style>
  <w:style w:styleId="Title" w:type="paragraph">
    <w:name w:val="title"/>
    <w:basedOn w:val="Normal"/>
    <w:next w:val="Normal"/>
    <w:pPr>
      <w:keepNext w:val="0"/>
      <w:keepLines w:val="0"/>
      <w:widowControl w:val="1"/>
      <w:contextualSpacing w:val="1"/>
    </w:pPr>
    <w:rPr>
      <w:rFonts w:cs="Palatino" w:hAnsi="Palatino" w:eastAsia="Palatino" w:ascii="Palatino"/>
      <w:sz w:val="60"/>
    </w:rPr>
  </w:style>
  <w:style w:styleId="Subtitle" w:type="paragraph">
    <w:name w:val="subtitle"/>
    <w:basedOn w:val="Normal"/>
    <w:next w:val="Normal"/>
    <w:pPr>
      <w:keepNext w:val="0"/>
      <w:keepLines w:val="0"/>
      <w:widowControl w:val="1"/>
      <w:spacing w:lineRule="auto" w:before="60"/>
      <w:contextualSpacing w:val="1"/>
    </w:pPr>
    <w:rPr>
      <w:rFonts w:cs="Arial" w:hAnsi="Arial" w:eastAsia="Arial" w:ascii="Arial"/>
      <w:sz w:val="28"/>
    </w:rPr>
  </w:style>
  <w:style w:styleId="paragraph" w:type="paragraph">
    <w:name w:val="paragraph"/>
    <w:basedOn w:val="Normal"/>
    <w:next w:val="Normal"/>
    <w:pPr>
      <w:keepNext w:val="0"/>
      <w:keepLines w:val="0"/>
      <w:widowControl w:val="1"/>
      <w:spacing w:lineRule="auto" w:line="240"/>
      <w:contextualSpacing w:val="1"/>
    </w:pPr>
    <w:rPr/>
  </w:style>
  <w:style w:styleId="paragraph_header" w:type="paragraph">
    <w:name w:val="paragraph_header"/>
    <w:basedOn w:val="Normal"/>
    <w:next w:val="Normal"/>
    <w:pPr>
      <w:keepNext w:val="0"/>
      <w:keepLines w:val="0"/>
      <w:widowControl w:val="1"/>
      <w:spacing w:lineRule="auto" w:before="280" w:after="280" w:line="240"/>
      <w:contextualSpacing w:val="1"/>
    </w:pPr>
    <w:rPr/>
  </w:style>
  <w:style w:styleId="header" w:type="paragraph">
    <w:name w:val="header"/>
    <w:basedOn w:val="Normal"/>
    <w:next w:val="Normal"/>
    <w:pPr>
      <w:keepNext w:val="0"/>
      <w:keepLines w:val="0"/>
      <w:widowControl w:val="1"/>
      <w:spacing w:lineRule="auto" w:after="280" w:line="240"/>
      <w:contextualSpacing w:val="1"/>
      <w:jc w:val="right"/>
    </w:pPr>
    <w:rPr>
      <w:sz w:val="24"/>
    </w:rPr>
  </w:style>
  <w:style w:styleId="signed_document_paragraph" w:type="paragraph">
    <w:name w:val="signed_document_paragraph"/>
    <w:basedOn w:val="Normal"/>
    <w:next w:val="Normal"/>
    <w:pPr>
      <w:keepNext w:val="0"/>
      <w:keepLines w:val="0"/>
      <w:widowControl w:val="1"/>
      <w:contextualSpacing w:val="1"/>
      <w:jc w:val="right"/>
    </w:pPr>
    <w:rPr>
      <w:sz w:val="24"/>
    </w:rPr>
  </w:style>
  <w:style w:styleId="bold_paragraph_header" w:type="paragraph">
    <w:name w:val="bold_paragraph_header"/>
    <w:basedOn w:val="Normal"/>
    <w:next w:val="Normal"/>
    <w:pPr>
      <w:keepNext w:val="0"/>
      <w:keepLines w:val="0"/>
      <w:widowControl w:val="1"/>
      <w:spacing w:lineRule="auto" w:line="240"/>
      <w:contextualSpacing w:val="1"/>
      <w:jc w:val="center"/>
    </w:pPr>
    <w:rPr>
      <w:b w:val="1"/>
    </w:rPr>
  </w:style>
  <w:style w:styleId="DefaultTable" w:type="table">
    <w:basedOn w:val="TableNormal"/>
    <w:tblPr>
      <w:tblStyleRowBandSize w:val="1"/>
      <w:tblStyleColBandSize w:val="1"/>
    </w:tblPr>
    <w:tblStylePr w:type="band1Horz"/>
    <w:tblStylePr w:type="band1Vert"/>
    <w:tblStylePr w:type="band2Horz"/>
    <w:tblStylePr w:type="band2Vert"/>
    <w:tblStylePr w:type="firstCol"/>
    <w:tblStylePr w:type="firstRow"/>
    <w:tblStylePr w:type="lastCol"/>
    <w:tblStylePr w:type="lastRow"/>
    <w:tblStylePr w:type="neCell"/>
    <w:tblStylePr w:type="nwCell"/>
    <w:tblStylePr w:type="seCell"/>
    <w:tblStylePr w:type="swCell"/>
  </w:style>
</w:styles>
</file>

<file path=word/_rels/document.xml.rels><?xml version="1.0" encoding="UTF-8" standalone="yes"?>
<Relationships xmlns="http://schemas.openxmlformats.org/package/2006/relationships"><Relationship Target="fontTable.xml" Type="http://schemas.openxmlformats.org/officeDocument/2006/relationships/fontTable" Id="rId1"/><Relationship Target="footer1.xml" Type="http://schemas.openxmlformats.org/officeDocument/2006/relationships/footer" Id="rId2"/><Relationship Target="footer2.xml" Type="http://schemas.openxmlformats.org/officeDocument/2006/relationships/footer" Id="rId3"/><Relationship Target="numbering.xml" Type="http://schemas.openxmlformats.org/officeDocument/2006/relationships/numbering" Id="rId4"/><Relationship Target="settings.xml" Type="http://schemas.openxmlformats.org/officeDocument/2006/relationships/settings" Id="rId5"/><Relationship Target="styles.xml" Type="http://schemas.openxmlformats.org/officeDocument/2006/relationships/styles" Id="rId6"/><Relationship Target="header1.xml" Type="http://schemas.openxmlformats.org/officeDocument/2006/relationships/header" Id="rId7"/><Relationship Target="header2.xml" Type="http://schemas.openxmlformats.org/officeDocument/2006/relationships/header" Id="rId8"/></Relationships>

</file>

<file path=docProps/app.xml><?xml version="1.0" encoding="utf-8"?>
<Properties xmlns="http://schemas.openxmlformats.org/officeDocument/2006/extended-properties" xmlns:vt="http://schemas.openxmlformats.org/officeDocument/2006/docPropsVTypes">
  <Application>Caracal</Applicat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anotācija_(ex_ante)_22-TA-3194.docx</dc:title>
</cp:coreProperties>
</file>

<file path=docProps/custom.xml><?xml version="1.0" encoding="utf-8"?>
<Properties xmlns="http://schemas.openxmlformats.org/officeDocument/2006/custom-properties" xmlns:vt="http://schemas.openxmlformats.org/officeDocument/2006/docPropsVTypes"/>
</file>