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precizējumus, ņemot vērā Eiropas Komisijas atbildi par subsīdiju ekvivalenta aprēķināšanu kombinēto finanšu instrumentu gadījumā, kā arī citus papildus tehniskus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subsīdijas ekvivalentu ALTUM aizdevumam vai paralēlajam aizdevumam aprēķina kopā par visu atbalsta periodu, faktiski piemērojamo procentu summu atskaitot no procentu summas, kura jāmaksā saskaņā ar Eiropas Komisijas konkrētajam periodam noteikto bāzes likmi, kā arī riska likmi, kuras procentuālais apmērs tiek noteikts atbilstoši sabiedrības "Altum" izsniegtajam aizdevuma vai paralēlā aizdevuma saņēmēja reitingam un piedāvātajam nodrošinājumam un kura paralēlā aizdevuma gadījumā ir noteikta ne mazāk kā 650 bāzes punktu apmērā, un tam pieskaita kapitāla atlaidi, kuras subsīdijas ekvivalents ir vienāds ar saimnieciskās darbības veicējam piešķirtās kapitāla atlaides nominālo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11. oktobra Eiropas Komisijas atbildi </w:t>
      </w:r>
      <w:r w:rsidR="00000000" w:rsidRPr="00000000" w:rsidDel="00000000">
        <w:rPr>
          <w:i w:val="1"/>
          <w:rtl w:val="0"/>
        </w:rPr>
        <w:t xml:space="preserve">eState aid WIKI</w:t>
      </w:r>
      <w:r w:rsidR="00000000" w:rsidRPr="00000000" w:rsidDel="00000000">
        <w:rPr>
          <w:rtl w:val="0"/>
        </w:rPr>
        <w:t xml:space="preserve"> sistēmā (turpmāk - EK atbilde), nepieciešams veikt precizējumus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nosakot komersantam izdevīgākus nosacījumus, kā arī citus tehniskus precizējumus, lai komersantiem un atbalsta sniedzējiem būtu pilnīgi skaidri aizdevumu programmas nosacījumi un īstenošanas gaita.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punktum, kas nosaka, ka investīcijas ietvaros tiks īstenoti stratēģiski svarīgi investīciju projekti saskaņā ar Eiropas Parlamenta un Padomes 2021. gada 12. februāra Regulu ES Nr. 2021/241, ar ko izveido Atveseļošanas un noturības mehānismu, tādējādi palīdzot sasniegt Eiropas Savienības 2030. gadam izvirzīto klimata mērķu sasniegšanu un 2050. gadam izvirzīto klimata neitralitātes mērķu sasniegšanu un digitālo pārkārtošanos, attiecīgi sekmējot kāpjošu ekonomikas un sociālo konverģenci, atjaunojot un veicinot Savienības ekonomiku, ilgtspējīgu izaugsmi un integrāciju, kā arī radot Eiropas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37.2.apakšpunktu un noteikt, ka, 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komersants gūst labumu vairākos dažādas intensitātes reģionos, tad visam projektam tiek piemērota zemākās intensitātes reģiona intensitāte, t.i., mazāks ieguldījums attiecīgajā reģionā var ietekmēt visa projekta intensitāti. Savukārt precizētā versijā tiek paredzēts, ka gadījumos, kad komersants gūst labumu dažādas intensitātes reģionos, zemākā intensitāte attiecās tikai uz attiecīgo ieguldījumu nevis uzreiz ietekmē visu projektu. Minētā norma precizēta komersantam izdevīgākā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39.6. apakšpunktu, uzskaitot izslēgšanas kritērijus, kuri nevar būt attiecināmi uz komersantu atbalsta piešķiršanas brīdī. Norma precizēta atbilstoši Finanšu ministrijas un Centrālā finanšu un līgumu aģentūras skaidrojumam, kā arī atbilstoši Eiropas Komisijas skaidrojumam, izslēgšanas kritēriji Atveseļošanas un noturības mehānisma ietvaros var tikt pārbaudīti tāpat kā Eiropas Savienības struktūrfondu un Kohēzijas fonda 2014.—2020.gada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MK Noteikumu 51. un 57.punktu - ALTUM aizdevuma vai paralēlā aizdevuma iespējamu termiņa pagarinājumu, kā arī subsīdiju ekvivalenta aprēķināšanu ALTUM aizdevumam vai paralēlajam aizdevumam, pamatojoties uz EK atbildi,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ALTUM aizdevumam vai paralēlam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ALTUM aizdevumam vai paralēlam aizdevumam, kas pārsniedz piešķirto kapitāla atlaidi, kopējo subsīdijas ekvivalentu aprēķina, summējot attiecīgās piešķirtā atbalsta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labvēlīgāku normu par  aizdevuma subsīdijas ekvivalenta aprēķinu. Atbalsta programmas ietvaros plānots sniegt atbalstu vismaz 130 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(2013. gada 18. decembris)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(2013. gada 18. decembris)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22-TA-3389</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22-TA-3389</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anotācija_(ex_ante)_22-TA-3389.docx</dc:title>
</cp:coreProperties>
</file>

<file path=docProps/custom.xml><?xml version="1.0" encoding="utf-8"?>
<Properties xmlns="http://schemas.openxmlformats.org/officeDocument/2006/custom-properties" xmlns:vt="http://schemas.openxmlformats.org/officeDocument/2006/docPropsVTypes"/>
</file>