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22. decembra noteikumos Nr. 775 "Gada pārskatu un konsolidēto gada pārskatu likuma piemērošanas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normatīvajos aktos nav noteikta vienota kriptoaktīvu uzskaites kārtība grāmatvedībā.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Ministru kabineta 2015. gada 22. decembra noteikumos Nr. 775 "Gada pārskatu un konsolidēto gada pārskatu likuma piemērošanas noteikumi"" mērķis ir nodrošināt uzņēmumiem vienotu izpratni par kriptoaktīvu uzskaiti grāmatvedībā.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31. maija regula (ES) 2023/1114 par kriptoaktīvu tirgiem un ar ko groza Regulas (ES) Nr. 1093/2010 un (ES) Nr. 1095/2010 un Direktīvas 2013/36/ES un (ES) 2019/1937 (turpmāk – MICA regula), kas ir piemērojama attiecībā uz kriptoaktīviem, ir stājusies spēkā ar 2023. gada 29. jūniju. MICA regulas prasības ir piemērojamas kriptoaktīvu tirgus dalībniekiem, kuru vidū personām, kas ir iesaistītas kriptoaktīvu emitēšanā, publiskā piedāvāšanā un pielaišanā tirdzniecībai vai sniedz kriptoaktīvu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Finanšu darījumu darba grupas (FATF) rekomendācijās noteiktās prasības attiecībā uz kriptoaktīvu terminoloģiju, Noziedzīgi iegūtu līdzekļu legalizācijas un terorisma un proliferācijas finansēšanas novēršanas likuma (turpmāk – NILLTPFNL)  1. panta 2.</w:t>
      </w:r>
      <w:r w:rsidR="00000000" w:rsidRPr="00000000" w:rsidDel="00000000">
        <w:rPr>
          <w:vertAlign w:val="superscript"/>
          <w:rtl w:val="0"/>
        </w:rPr>
        <w:t xml:space="preserve">2 </w:t>
      </w:r>
      <w:r w:rsidR="00000000" w:rsidRPr="00000000" w:rsidDel="00000000">
        <w:rPr>
          <w:rtl w:val="0"/>
        </w:rPr>
        <w:t xml:space="preserve">punktā noteiktais termins “virtuālā valūta” ir aizstāts ar terminu “kriptoaktīvs”. Proti, kriptoaktīvs ir vērtības digitāls atveidojums, ko var digitāli tirgot vai nodot un ko var izmantot maksājumiem vai ieguldījumiem. Kriptoaktīvs neietver valstu centrālo banku emitētas valūtas, vērtspapīra vai cita finanšu aktīva digitālu atveidojumu. Minētie grozījumi NILLTPFNL par termina “kriptoaktīvs” izteikšanu jaunā redakcijā stājās spēkā 2024. gada 1. jūlijā un zaudēs spēku 2024. gada 29.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2024. gada 30. decembri termins “kriptoaktīvs” būs atbilstīgs  MICA regulas 3. panta 1.punkta 5. apakšpunktā lietotajam terminam “kriptoaktīvs”, jo no minētā datuma MICA regula ir tieši piemērojama visās Eiropas Savienības dalībvalstīs.  MICA regulas  3. panta 1. punkta 5. apakšpunkts skaidro, ka kriptoaktīvs ir vērtības vai tiesību digitāls atveidojums, ko ir iespējams nodot un uzglabāt elektroniski, izmantojot sadalītās virsgrāmatas tehnoloģiju vai līdzīgu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MICA regulas pieņemšanai tika izmantota Eiropas Parlamenta un Padomes 2018. gada 30. maija Direktīva (ES) 2018/843, ar ko groza Direktīvu (ES) 2015/849 par to, lai nepieļautu finanšu sistēmas izmantošanu nelikumīgi iegūtu līdzekļu legalizēšanai vai teroristu finansēšanai, un ar ko groza Direktīvas 2009/138/EK un 2013/36/ES (turpmāk – Direktīva 2018/843), ar kuru tika ieviests pirmais Eiropas Savienības līmeņa virtuālo valūtu regulējums. Direktīvā 2018/843 noteikta virtuālo valūtu definīcija, proti, “virtuālās valūtas” ir vērtības digitāls atspoguļojums, ko neizsniedz vai negarantē centrālā banka vai valsts iestāde, kas nav obligāti piesaistītas likumīgi izveidotai valūtai un kurām nav valūtas vai naudas juridiskā statusa, bet ko fiziskas vai juridiskas personas pieņem kā maiņas līdzekli un ko var pārskaitīt, glabāt un tirgot elektroniskā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publicēto metodisko materiālu "Nodokļu un grāmatvedības normatīvā regulējuma piemērošana darījumiem ar virtuālo valūtu", sabiedrībām, kurām ir darījumi ar virtuālo valūtu, ir ieteikts grāmatvedībā virtuālo valūtu uzskaitīt apgrozāmo līdzekļu sastāvā kā krājumus, kas iegādāti par naudu (</w:t>
      </w:r>
      <w:r w:rsidR="00000000" w:rsidRPr="00000000" w:rsidDel="00000000">
        <w:rPr>
          <w:i w:val="1"/>
          <w:rtl w:val="0"/>
        </w:rPr>
        <w:t xml:space="preserve">euro)</w:t>
      </w:r>
      <w:r w:rsidR="00000000" w:rsidRPr="00000000" w:rsidDel="00000000">
        <w:rPr>
          <w:rtl w:val="0"/>
        </w:rPr>
        <w:t xml:space="preserve">. Apgrozāmo līdzekļu (krājumu) sastāvā uzskaitītā virtuālā valūta neatkarīgi no samaksas veida tās iegādes brīdī grāmatvedībā novērtējama </w:t>
      </w:r>
      <w:r w:rsidR="00000000" w:rsidRPr="00000000" w:rsidDel="00000000">
        <w:rPr>
          <w:i w:val="1"/>
          <w:rtl w:val="0"/>
        </w:rPr>
        <w:t xml:space="preserve">euro</w:t>
      </w:r>
      <w:r w:rsidR="00000000" w:rsidRPr="00000000" w:rsidDel="00000000">
        <w:rPr>
          <w:rtl w:val="0"/>
        </w:rPr>
        <w:t xml:space="preserve">. Ja saimnieciskā darījuma rezultātā mainās virtuālās valūtas apjoms, tas grāmatvedības uzskaitē jāatspoguļo </w:t>
      </w:r>
      <w:r w:rsidR="00000000" w:rsidRPr="00000000" w:rsidDel="00000000">
        <w:rPr>
          <w:i w:val="1"/>
          <w:rtl w:val="0"/>
        </w:rPr>
        <w:t xml:space="preserve">euro.</w:t>
      </w:r>
      <w:r w:rsidR="00000000" w:rsidRPr="00000000" w:rsidDel="00000000">
        <w:rPr>
          <w:rtl w:val="0"/>
        </w:rPr>
        <w:t xml:space="preserve"> Tātad, ja sabiedrība par precēm vai pakalpojumiem norēķinās virtuālajā valūtā, pēc ekonomiskās būtības tiek veikts preču maiņas (bartera) darījums, nevis naudas darījums, kas attiecīgi atspoguļojams sabiedrības grāmatvedībā. Arī tad, ja viena veida virtuālā valūta tiek mainīta pret citu, grāmatvedībā to novērtē </w:t>
      </w:r>
      <w:r w:rsidR="00000000" w:rsidRPr="00000000" w:rsidDel="00000000">
        <w:rPr>
          <w:i w:val="1"/>
          <w:rtl w:val="0"/>
        </w:rPr>
        <w:t xml:space="preserve">euro</w:t>
      </w:r>
      <w:r w:rsidR="00000000" w:rsidRPr="00000000" w:rsidDel="00000000">
        <w:rPr>
          <w:rtl w:val="0"/>
        </w:rPr>
        <w:t xml:space="preserve">. Ja pret apmaiņu iegūta virtuālā valūta, kuras vērtība neatšķiras no apmaināmās valūtas, pret apmaiņu iegūtā virtuālā valūta uzskaitāma </w:t>
      </w:r>
      <w:r w:rsidR="00000000" w:rsidRPr="00000000" w:rsidDel="00000000">
        <w:rPr>
          <w:i w:val="1"/>
          <w:rtl w:val="0"/>
        </w:rPr>
        <w:t xml:space="preserve">euro</w:t>
      </w:r>
      <w:r w:rsidR="00000000" w:rsidRPr="00000000" w:rsidDel="00000000">
        <w:rPr>
          <w:rtl w:val="0"/>
        </w:rPr>
        <w:t xml:space="preserve"> tādā pašā vērtībā kā līdz apmaiņas brīdim īpašumā esošā, savukārt, ja iegūtās valūtas vērtība ir augstāka vai zemāka, starpība iekļaujama sabiedrības attiecīgā perioda peļņas vai zaudējumu aprēķinā. Tā kā saskaņā ar Gada pārskatu un konsolidēto gada pārskatu likumā noteikto apgrozāmo līdzekļu vērtību pārvērtē, lai tie bilances datumā tiktu novērtēti atbilstoši iegādes izmaksām vai ražošanas pašizmaksai, vai zemākajām tirgus cenām šajā datumā, atbilstoši tam, kurš no šiem rādītājiem ir zemāks, šo prasību nepieciešams ņemt vērā, arī uzskaitot virtuālo valūtu, proti, to uzskaita vērtībā, kura bilances datumā zemāka, – iegādes (vai ražošanas) izmaksās vai tirgus cenās.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ieņēmumu dienesta mājas lapā ir sniegta informācija, ka pēc būtības virtuālās valūtas uzpirkšana un izplatīšana nav uzskatāma par finanšu instrumentu vai elektroniskās naudas emisiju vai maksājumu pakalpojumu, tad virtuālā valūta pēc būtības uzskatāma par preci jeb produktu, kuru var izmantot kā maiņas līdzekli, ja puses par to vienojas, tad grāmatvedībā to uzrāda kā krājumus apgrozāmo līdzekļu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naudu jeb e - naudu Maksājumu pakalpojumu un elektroniskās naudas likuma 1. panta 2.</w:t>
      </w:r>
      <w:r w:rsidR="00000000" w:rsidRPr="00000000" w:rsidDel="00000000">
        <w:rPr>
          <w:vertAlign w:val="superscript"/>
          <w:rtl w:val="0"/>
        </w:rPr>
        <w:t xml:space="preserve">2</w:t>
      </w:r>
      <w:r w:rsidR="00000000" w:rsidRPr="00000000" w:rsidDel="00000000">
        <w:rPr>
          <w:rtl w:val="0"/>
        </w:rPr>
        <w:t xml:space="preserve"> punkta izpratnē, kas līdztekus bezskaidrai un skaidrai naudai arī kalpo kā likumīgs maksāšanas līdzeklis, grāmatvedībā uzrāda apgrozāmo līdzekļu sastāva postenī nauda. Maksājumu pakalpojumu un elektroniskās naudas likumā ir noteikts, ka elektroniskā nauda — elektroniskā ierīcē (viedkartē vai datora atmiņā) glabāta monetārā vērtība,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prasījumu veidā pret emitentu,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emitēta, saņemot naudu no elektroniskās naudas turētāja, lai veiktu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izmantojama kā maksāšanas līdzeklis un kuru pieņem fiziskā vai juridiskā persona, kas nav elektroniskās naudas emitents.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minētā likuma 1. panta 36. punkts nosaka, ka  naudas līdzekļi ir banknotes un monētas, bezskaidra nauda un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elektroniskās naudas žetons ir kriptoaktīvu veids, kurš tiecas uzturēt stabilu vērtību, ko panāk, to piesaistot vienas oficiālas valūtas vērtībai. Šajā gadījumā ar oficiālo valūtu tiek saprasta kādas valsts oficiālā valūta, ko emitējusi centrālā banka vai cita monetārā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Elektroniskās naudas žetonu var emitēt un veikt tā publisku piedāvājumu vai lūgt tā pielaidi tirdzniecībai tikai kredītiestāde vai elektroniskās naudas iestāde, kura ir paziņojusi par kriptoaktīvu balto grāmatu Latvijas Bankai (Latvijas Banka ir nozīmēta par uzraudzības un kontroles institūciju kriptoaktīvu pakalpojumu sniedzējiem no 2024. gada 30. decembra un elektroniskās naudas žetonu un aktīviem piesaistītu žetonu emitentiem – no 2024. gada 30. jūnija) un ir publicējusi minēto kriptoaktīvu balto grāmatu saskaņā MICA regulas 51. pantu. Kriptoaktīvu baltā grāmata ir informatīvs dokuments, kas satur obligāti atklājamu informāciju kriptokatīvu privātajiem turētājiem. Kriptoaktīvu baltā grāmata ietver vispārīgu informāciju par emitentu, piedāvātāju vai personu, kas lūdz pielaidi tirdzniecībai, par projektu, kas īstenojams ar piesaistīto kapitālu, par kriptoaktīvu publisko piedāvājumu vai par to pielaidi tirdzniecībai, par kriptoaktīviem piesaistītām tiesībām un pienākumiem, par pamatā esošo tehnoloģiju, ko izmanto šādiem kriptoaktīviem, un par saistītajiem riskiem. Tās izstrāde, paziņošana kompetentajai uzraudzības iestādei un publicēšana ir obligāts nosacījums kriptoaktīvu tirgus dalībniekam atļaujas saņemšanai. Kriptoaktīvu baltajā grāmatā iekļaujamās informācijas saturs un formāts attiecībā uz kriptoaktīviem ir norādīts MICA regulas  6. pantā, attiecībā uz aktīviem piesaistītiem žetoniem – 19. pantā, attiecībā uz elektroniskās naudas žetoniem – 51.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attiecībā uz elektroniskās naudas žetonu, kas piesaistīti vienotai oficiālai valūtai, ir jāņem vērā MICA regulā ietvertais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normatīvajos aktos nav noteikta vienota kriptoaktīvu uzskaites kārtība grāmatvedībā. Šobrīd uzņēmumi var brīvprātīgi izmantot Valsts ieņēmumu dienesta metodisko materiālu par virtuālās valūtas uzskaiti grāmatvedībā, kā arī citus Valsts ieņēmumu dienesta sniegtos informatīvos materiālus, kuros uzņēmumiem tiek piedāvāts virtuālo valūtu (kriptoaktīvus) grāmatvedībā uzskaitīt krājumu sastāvā.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Ministru kabineta 2015. gada 22. decembra noteikumos Nr. 775 "Gada pārskatu un konsolidēto gada pārskatu likuma piemērošanas noteikumi" (turpmāk - grozījumi MK noteikumos Nr. 775) tiks nodrošināta uzņēmumiem vienota izpratne par kriptoaktīvu uzskaiti grāmatvedībā. MK noteikumi Nr. 775 nemaina citu kriptoaktīvu uzskaites kārtību, kā tā līdz šim ir skaidrota gan no Valsts ieņēmumu dienesta puses, gan no Finanšu ministrijas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jēdziens "kriptoaktīvs" tiek lietots atbilstoši MICA regulas noteiktajam terminam “kriptoaktīvs” -  vērtības vai tiesību digitāls atveidojums, ko ir iespējams nodot un uzglabāt elektroniski, izmantojot sadalītās virsgrāmatas tehnoloģiju vai līdzīgu tehnoloģiju, un, ka, novērtējot kriptoaktīvu, ir jāievēro  MICA regulas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775 paredz, ka, ja kriptoaktīvs tiek izmantots kā maiņas līdzeklis (pirkts, izmantojot atzītu likumīgu maksāšanas līdzekli vai iegūts apmaiņas ceļā), tad šādu kriptoaktīvu norāda atbilstoši iegādes izmaksām apgrozāmo līdzekļu sastāvā kā krājumus, izveidojot atsevišķu apakšposteni “Kriptoaktīvi”.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Gada pārskatu un konsolidēto gada pārskatu likumā noteikto apgrozāmo līdzekļu vērtību pārvērtē, lai tie bilances datumā tiktu novērtēti atbilstoši iegādes izmaksām vai ražošanas pašizmaksai, vai zemākajām tirgus cenām šajā datumā, atbilstoši tam, kurš no šiem rādītājiem ir zemāks, šo prasību nepieciešams ņemt vērā, arī uzskaitot kriptoaktīvu, proti, to uzskaita vērtībā, kura bilances datumā zemāka, – iegādes (vai ražošanas) izmaksās vai tirgus cenās. Neto pārdošanas vērtību aprēķina kā aplēstās pārdošanas cenas un aplēsto pabeigšanas un pārdošanas izmaksu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grozījumi  MK noteikumos Nr. 775 paredz, ka kriptoaktīvu atlikumu vērtību būs jākoriģē, lai tie bilances datumā būtu novērtēti atbilstoši iegādes izmaksām vai zemākajām tirgus cenām bilances datumā atkarībā no tā, kurš no šiem rādītājiem ir zemāks, tās drīkst novērtēt neto pārdošanas vērtībā.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kriptoaktīvu veids - elektroniskās naudas žetons, kurš tiecas uzturēt stabilu vērtību, ko panāk, to piesaistot vienas oficiālas valūtas vērtībai, vai elektroniskā nauda Maksājumu pakalpojumu un elektroniskās naudas likuma izpratnē, kas papildus banknotēm un monētām, bezskaidrai naudai var tikt izmantots kā likumīgs maksāšanas līdzeklis, tad  grozījumi MK noteikumos Nr.775  paredz, ka šādu kriptoaktīvu (elektronisko naudu) grāmatvedībā uzrāda apgrozāmo līdzekļu sastāvā postenī “Nauda”, izveidojot apakšposteni “Elektroniskā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sabiedrība pati izveido (ražo) kriptoaktīvus, tad šādā gadījumā kriptoaktīvi sākotnēji jānovērtē tāpat kā krājumus - sākotnēji novērtē atbilstoši ražošanas pašizmaksai, t.i., ražošanas pašizmaksā iekļauj izejvielu, pamatmateriālu un palīgmateriālu iegādes izmaksas un citus izdevumus, piemēram, tiešās darbaspēka izmaksas (darbinieku darba algas un ar šīm algām saistītās valsts sociālās apdrošināšanas obligātās iemaksas), transportēšanas, pārkraušanas vai citas izmaksas, kas tieši saistītas ar attiecīgo vienību ražošanu vai izgatavošanu.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Nr.775 arī paredz, ka finanšu pārskata pielikumā ir jāsniedz informāciju par kriptoaktīvu uzskaitei pieņemto grāmatvedības politiku.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2015. gada 22. decembra noteikumos Nr. 775 "Gada pārskatu un konsolidēto gada pārskatu likuma piemērošanas noteikumi" attieksies uz Gada pārskatu un konsolidēto gada pārskatu likuma subjektiem, kuriem būs darījumi ar kriptoaktīviem.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2015. gada 22. decembra noteikumos Nr. 775 "Gada pārskatu un konsolidēto gada pārskatu likuma piemērošanas noteikumi" attieksies uz visiem uzņēmumiem, kuriem būs darījumi ar kriptoaktīviem. Kriptoaktīvu uzskaite grāmatvedībā būs vienāda visiem uzņēmumiem, neatkarīgi no tā kādā nozarē uzņēmums darbojas.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Republikas ārpakalpojuma grāmatvežu asociācija", Latvijas Republikas Grāmatvežu asociācija, 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2015. gada 22. decembra noteikumos Nr. 775 "Gada pārskatu un konsolidēto gada pārskatu likuma piemērošanas noteikumi" tika nosūtīti saskaņošanai/izvērtēšanai Latvijas Republikas Grāmatvežu asociācijai, Latvijas Republikas ārpakalpojuma grāmatvežu asociācijai un Latvijas Zvērinātu revidentu asociācijai un tika saskaņoti saskaņoja bez iebildumiem.  Latvijas Republikas ārpakalpojuma grāmatvežu asociācija bija iesniegusi tehniskus priekšlikumus grozījumiem MK noteikumos Nr.775.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normatīvā akta izmaiņām uzņēmumiem nerodas papildu administratīvais slogs, jo uzņēmumiem tiek saglabāta pieņemtā līdzšinējā prakse par kriptoaktīvu  uzrādīšanu grāmatvedībā. Tāpat arī uzņēmumiem nerodas papildus izdevumi saistībā ar kriptoaktīvu uzrādīšanu gada pārskatā, jo jau šobrīd gada pārskata sastāvdaļu “Bilance” var papildināt ar jauniem posteņiem.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23-TA-1128</w:t>
    </w:r>
    <w:r>
      <w:br/>
    </w:r>
    <w:r w:rsidR="00000000" w:rsidRPr="00000000" w:rsidDel="00000000">
      <w:rPr>
        <w:rtl w:val="0"/>
      </w:rPr>
      <w:t xml:space="preserve">Izdrukāts 29.07.2026. 23.46 - 1.0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23-TA-1128</w:t>
    </w:r>
    <w:r>
      <w:br/>
    </w:r>
    <w:r w:rsidR="00000000" w:rsidRPr="00000000" w:rsidDel="00000000">
      <w:rPr>
        <w:rtl w:val="0"/>
      </w:rPr>
      <w:t xml:space="preserve">Izdrukāts 29.07.2026. 23.46 - 1.0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anotācija_(ex_ante)_23-TA-1128.docx</dc:title>
</cp:coreProperties>
</file>

<file path=docProps/custom.xml><?xml version="1.0" encoding="utf-8"?>
<Properties xmlns="http://schemas.openxmlformats.org/officeDocument/2006/custom-properties" xmlns:vt="http://schemas.openxmlformats.org/officeDocument/2006/docPropsVTypes"/>
</file>