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 – 2027. gadam 2.1.1.  specifiskā atbalsta mērķa “Energoefektivitātes veicināšana un siltumnīcefekta gāzu emisiju samazināšana”  2.1.1.6. pasākuma “Pašvaldību ēku energoefektivitātes paaugstināšana” trešās projektu iesniegumu atlases kārtas īstenošanas noteikumi” (turpmāk – noteikumu projekts) sagatavots, pamatojoties uz Eiropas Savienības fondu 2021. — 2027.gada plānošanas perioda vadības likuma 19.panta 13.punktu. Noteikumu projekta ietvaros tiks sniegts atbalsts granta veidā Latvijas Republikas pašvaldībām (tai skaitā to iestādēm un kapitālsabiedrībām, kā arī publiski privātām kapitālsabiedrībām), kuru īpašumā, valdījumā, pārvaldīšanā vai bezatlīdzības lietošanā esošajās ēkās tiks uzlabota energoefektivitāte un ietaupīti energoresursi, tādējādi samazinot pašvaldību budžeta izdevumus turpmākai ēku uzturēšanai un apsaimniekošanai, kā arī komunālo pakalpojumu izmaksas iedzīvotājiem, kuri saņem pašvaldību sniegtos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uzlabot pašvaldību ēku un infrastruktūras energoefektivitāti, lai samazinātu ikgadējo primāro enerģijas patēriņu un sasniegtu enerģijas ietaupījumu, ieviešot efektīvākos pasākumus pašvaldību ēku energoefektivitātes, tai skaitā siltumnoturības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(turpmāk – EK) izstrādāto Renovācijas viļņa stratēģiju Eiropas Savienībā (turpmāk – ES) ēku patērētā enerģija veido aptuveni 40 procentus no enerģijas patēriņa, bet energoefektīva ēku renovācija ES tiek veikta tikai 1 procentu ēku gadā, tāpēc klimatneitralitātes mērķu sasniegšanai nākamajos 10 gados visā ES, arī Latvijā, ir nepieciešams vismaz divkāršot ēku renovācijas apjomu, nodrošinot ēku energoefektivitātes un resursu efektivitātes paaugstināšanu. Minētais, īpaši veicot ēku renovāciju reizē ar atjaunīgo energoresursu (turpmāk – AER) izmantošanu, veicina arī enerģētisko neatkarību no importētiem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2020. gada 10. novembra protokola Nr. 70 25.§ "Informatīvais ziņojums “Ēku atjaunošanas ilgtermiņa attīstības stratēģija" (TA-1989) [1] paredz nepieciešamību ES fondu un citu publiskā finansējuma avotu ietvaros turpināt īstenot aktivitātes pašvaldību ēku pārbūvei un atjaunošanai, siltumapgādes infrastruktūras pārbūvei vai atjaunošanai, AER izmantojošu siltumenerģiju un elektroenerģiju ražojošu iekārtu iegādei un uzstādīšanai, kā arī energoefektīvas dzesēšanas un ventilācijas sistēmu izveidei, pārbūvei vai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Padomes ikgadējās rekomendācijas, tai skaitā 2025. gadam aicina virzīt investīcijas uz "zaļo pārkārtošanos" - tīrā enerģijā, ilgtspējīgā transportā, resursu efektivitātē un ēku energoefektivitātē.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energoefektivitātes pasākumi, īpaši ēku renovācija un norobežojošo konstrukciju uzlabojumi, bieži prasa ievērojamus ilgtermiņa kapitālieguldījumus, kuru atmaksāšanās periods praksē var būt pat līdz 30 gadiem [2]. Tāpēc pašvaldībām, kas iegulda ēkās, kas nodrošina pašvaldību autonomās funkcijas, nereti trūkst finanšu resursu, lai īstenotu nepieciešamos energoefektivitātes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ēku energoefektivitātes uzlabošanas pasākumi tika veikti jau ES fondu 2014. – 2020. gada plānošanas periodā 4.2.2. specifiskā atbalsta mērķa “Atbilstoši pašvaldības integrētajām attīstības programmām sekmēt energoefektivitātes paaugstināšanu un atjaunojamo energoresursu izmantošanu pašvaldību ēkās”  ietvaros. Tāpat šis atbalsts tika turpināts 13.1.3. specifiskā atbalsta mērķa “Atveseļošanas pasākumi vides un reģionālās attīstības jomā” 13.1.3.1. pasākumā “Energoefektivitātes paaugstināšana pašvaldību infrastruktūrā ekonomiskās situācijas uzlabošanai”. Abos iepriekš minētajos pasākumos kopā pabeigti 213 projekti ar kopējo attiecināmo finansējumu 114,9 milj. </w:t>
      </w:r>
      <w:r w:rsidR="00000000" w:rsidRPr="00000000" w:rsidDel="00000000">
        <w:rPr>
          <w:i w:val="1"/>
          <w:rtl w:val="0"/>
        </w:rPr>
        <w:t xml:space="preserve">euro </w:t>
      </w:r>
      <w:r w:rsidR="00000000" w:rsidRPr="00000000" w:rsidDel="00000000">
        <w:rPr>
          <w:rtl w:val="0"/>
        </w:rPr>
        <w:t xml:space="preserve">apmērā, no tā Eiropas Reģionālās attīstības fonda (turpmāk - ERAF) finansējums 74,4 milj. </w:t>
      </w:r>
      <w:r w:rsidR="00000000" w:rsidRPr="00000000" w:rsidDel="00000000">
        <w:rPr>
          <w:i w:val="1"/>
          <w:rtl w:val="0"/>
        </w:rPr>
        <w:t xml:space="preserve">euro</w:t>
      </w:r>
      <w:r w:rsidR="00000000" w:rsidRPr="00000000" w:rsidDel="00000000">
        <w:rPr>
          <w:rtl w:val="0"/>
        </w:rPr>
        <w:t xml:space="preserve">, kas liecināja par šāda veida atbalsta pieprasījumu pašvaldībās. Ņemot vērā lielo pašvaldību pieprasījumu, ēku energoefektivitātes uzlabošanas pasākumi secīgi tika turpināti ES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(turpmāk – 1.2.1.3.i investīcija) ietvarā. 1.2.1.3.i. investīcijas ietvarā ir īstenoti 44 projekti ar kopējo attiecināmo finansējumu 30,34 milj. </w:t>
      </w:r>
      <w:r w:rsidR="00000000" w:rsidRPr="00000000" w:rsidDel="00000000">
        <w:rPr>
          <w:i w:val="1"/>
          <w:rtl w:val="0"/>
        </w:rPr>
        <w:t xml:space="preserve">euro</w:t>
      </w:r>
      <w:r w:rsidR="00000000" w:rsidRPr="00000000" w:rsidDel="00000000">
        <w:rPr>
          <w:rtl w:val="0"/>
        </w:rPr>
        <w:t xml:space="preserve">, no tā Atveseļošanās fonda finansējums 25,38 milj. </w:t>
      </w:r>
      <w:r w:rsidR="00000000" w:rsidRPr="00000000" w:rsidDel="00000000">
        <w:rPr>
          <w:i w:val="1"/>
          <w:rtl w:val="0"/>
        </w:rPr>
        <w:t xml:space="preserve">euro</w:t>
      </w:r>
      <w:r w:rsidR="00000000" w:rsidRPr="00000000" w:rsidDel="00000000">
        <w:rPr>
          <w:rtl w:val="0"/>
        </w:rPr>
        <w:t xml:space="preserve"> apmērā, kas arī liecina par šāda veida atbalsta pieprasījumu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nepieciešams turpināt sniegt atbalstu pašvaldību īpašumā esošām ēkām (ar kopējo platību lielāku par 250 m</w:t>
      </w:r>
      <w:r w:rsidR="00000000" w:rsidRPr="00000000" w:rsidDel="00000000">
        <w:rPr>
          <w:vertAlign w:val="superscript"/>
          <w:rtl w:val="0"/>
        </w:rPr>
        <w:t xml:space="preserve">2</w:t>
      </w:r>
      <w:r w:rsidR="00000000" w:rsidRPr="00000000" w:rsidDel="00000000">
        <w:rPr>
          <w:rtl w:val="0"/>
        </w:rPr>
        <w:t xml:space="preserve">), kas nodrošina pašvaldību funkcijas. Lielākā daļa no šīm ēkām ir uzbūvētas pirms tika paaugstinātas siltumtehniskās prasības ēku norobežojošām konstrukcijām, līdz ar to tām ir zems energoefektivitātes līmenis. Ņemot vērā zemos energoefektivitātes rādītājus, prioritāri nepieciešams samazināt to enerģijas patēriņu, vienlaicīgi nodrošinot tādu iekštelpu gaisa apmaiņu un ventilāciju, kas nerada kaitējumu veselībai. Vairums šo ēku tiks ekspluatētas vēl ievērojamu laika periodu, līdz ar to aktuāla ir šo ēku pakāpeniska atjaunošana, uzlabojot to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plāno sniegt ieguldījumu arī plašākai AER izmantošanai, veicinot to izmantošanu pašvaldību ēkās - arī šādi risinājumi sekmē ne tikai pašvaldību ēku uzturēšanas (un tajā sniegto pakalpojumu) izmaksu samazinājumu, bet veicina arī enerģētisko neatkarību no importētiem energoresursiem un samazina radītās oglekļa dioksīda (turpmāk - CO</w:t>
      </w:r>
      <w:r w:rsidR="00000000" w:rsidRPr="00000000" w:rsidDel="00000000">
        <w:rPr>
          <w:vertAlign w:val="subscript"/>
          <w:rtl w:val="0"/>
        </w:rPr>
        <w:t xml:space="preserve">2</w:t>
      </w:r>
      <w:r w:rsidR="00000000" w:rsidRPr="00000000" w:rsidDel="00000000">
        <w:rPr>
          <w:rtl w:val="0"/>
        </w:rPr>
        <w:t xml:space="preserve">)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pastāvīgai pašvaldību nepieciešamībai atjaunot to ēku fondu, 2025. gada 11. oktobrī jābūt pārņemtām Eiropas Parlamenta un Padomes 2023. gada 13. septembra Direktīvas (ES) 2023/1791 </w:t>
      </w:r>
      <w:r w:rsidR="00000000" w:rsidRPr="00000000" w:rsidDel="00000000">
        <w:rPr>
          <w:i w:val="1"/>
          <w:rtl w:val="0"/>
        </w:rPr>
        <w:t xml:space="preserve">par energoefektivitāti un ar ko groza Regulu (ES) 2023/955</w:t>
      </w:r>
      <w:r w:rsidR="00000000" w:rsidRPr="00000000" w:rsidDel="00000000">
        <w:rPr>
          <w:rtl w:val="0"/>
        </w:rPr>
        <w:t xml:space="preserve"> (turpmāk - Direktīva 2023/1791) 6. panta prasībām, ar kurām noteikti pienākumi publisko ēku sektoram ik gadu atjaunot trīs procentus to īpašumā esošās ēkas, tās atjaunojot līdz vismaz gandrīz nulles enerģijas ēkas vai bezemisiju ēkas līmenim, tādēļ investīcijām jāveicina arī virzība uz šo mērķu izpildi. Tāpat Direktīvas 2023/1791 6. panta īstenošana veicinās šīs direktīvas 5. panta (par ikgadējo enerģijas ietaupījumu 1,9 % apmērā) un 8. panta (par valsts enerģijas ietaupījuma pienākuma virzību)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Parlamenta un Padomes 2024. gada 24. aprīļa Direktīvas (ES) 2024/1275 </w:t>
      </w:r>
      <w:r w:rsidR="00000000" w:rsidRPr="00000000" w:rsidDel="00000000">
        <w:rPr>
          <w:i w:val="1"/>
          <w:rtl w:val="0"/>
        </w:rPr>
        <w:t xml:space="preserve">par ēku energosniegumu</w:t>
      </w:r>
      <w:r w:rsidR="00000000" w:rsidRPr="00000000" w:rsidDel="00000000">
        <w:rPr>
          <w:rtl w:val="0"/>
        </w:rPr>
        <w:t xml:space="preserve"> (turpmāk - Direktīva 2024/1275) 10. panta prasību izpildi, kas lielākajai daļai projektu kā saistības iestāsies projekta pēcuzraudzības periodā, pašvaldību ēkām jānodrošina, ka tām tiek uzstādītas piemērotas saules enerģijas iekārtas.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ģeopolitisko situāciju pasaulē, īpaši Krievijas uzsākto karadarbību Ukrainā, nepieciešams būt proaktīviem un aktivizēt pasākumus, kas saistīti ar civilās aizsardzības sistēmas funkcionēšanu kara vai militāra iebrukuma gadījumā, tostarp jautājumiem par patvertņu izveidošanu vai iekārtošanu esošo ēku pagrabstāvos vai cokola stāvos.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jomas un nepieciešamības balstītas uz Nacionālajā attīstības plānā 2021. – 2027. gadam plānotajiem attīstības virzieniem, noteiktajām vajadzībām un izaicinājumiem, kā arī uz nozaru plānošanas dokumentiem un EK rekomendācijām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kohēzijas politikas programmas 2021. – 2027. gadam 2.1.1. specifiskā atbalsta mērķa "Energoefektivitātes veicināšana un siltumnīcefekta gāzu emisiju samazināšana"  2.1.1.6. pasākuma "Pašvaldību ēku energoefektivitātes paaugstināšana" trešā projektu iesniegumu atlases kārta (turpmāk – Pasākums) ir saskanīga ar Nacionālā enerģētikas un klimata plāna 2021. – 2030. gadam (turpmāk – NEKP) ēku atjaunošanas mērķiem un sniegs pozitīvu ieguldījumu energoefektivitātes mērķu un klimatneitralitātes mērķa sasniegšanā. Projektu īstenošanas rezultātā tiks samazināts kopējais primārās enerģijas patēriņš un attiecīgi arī samazinātas CO</w:t>
      </w:r>
      <w:r w:rsidR="00000000" w:rsidRPr="00000000" w:rsidDel="00000000">
        <w:rPr>
          <w:vertAlign w:val="subscript"/>
          <w:rtl w:val="0"/>
        </w:rPr>
        <w:t xml:space="preserve">2</w:t>
      </w:r>
      <w:r w:rsidR="00000000" w:rsidRPr="00000000" w:rsidDel="00000000">
        <w:rPr>
          <w:rtl w:val="0"/>
        </w:rPr>
        <w:t xml:space="preserve"> emisijas enerģētikas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https://polsis.mk.gov.lv/documents/6898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https://lrvk.gov.lv/lv/getrevisionfile/29824-Yn7suWH1yrf8azs0P-BFWXFLL8ABKZMo.pdf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izstrādāti nosacījumi Pasākuma atlases kārtas īstenošanai, kas paredzētu ERAF finansējuma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Pasākumu, tam pieejamo finansējumu un sasniedzamos mērķus, ieviešanā iesaistītās institūcijas, atbalstāmās darbības un izmaksas, prasības projektu iesniedzējam, ar komercdarbības atbalsta saņemšanu saistītos nosacījumus un projektu īstenošanas un uzraudzības nosacījumus, kā arī citus Pasākuma īstenošanas nosacījumus, piemēram, par demarkāciju ar citu atbalsta instrumentu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izmaksas, kas nepieciešamas gan kopējās primārās enerģijas ietaupījumam ēkās, gan arī saistītās investīcijas attiecībā uz klimata pārmaiņu mazināšanu un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paredzēts atbalsts pašvaldību ēku energoefektivitātes pasākumu īstenošanai, lai turpinātu sniegt atbalstu pašvaldību (tai skaitā to iestāžu un kapitālsabiedrību, kā arī publiski privātu kapitālsabiedrību) ēku energoefektivitātes uzlabošanai. Pasākuma ietvaros paredzēts, ka kopējais finansējums ir ne mazāks kā 19 409 820 </w:t>
      </w:r>
      <w:r w:rsidR="00000000" w:rsidRPr="00000000" w:rsidDel="00000000">
        <w:rPr>
          <w:i w:val="1"/>
          <w:rtl w:val="0"/>
        </w:rPr>
        <w:t xml:space="preserve">euro</w:t>
      </w:r>
      <w:r w:rsidR="00000000" w:rsidRPr="00000000" w:rsidDel="00000000">
        <w:rPr>
          <w:rtl w:val="0"/>
        </w:rPr>
        <w:t xml:space="preserve">, tai skaitā ERAF finansējums – 16 498 347 euro un nacionālā līdzfinansējuma apmērs, ko veido pašvaldību un privātais finansējums – ne mazāks kā 2 911 473 </w:t>
      </w:r>
      <w:r w:rsidR="00000000" w:rsidRPr="00000000" w:rsidDel="00000000">
        <w:rPr>
          <w:i w:val="1"/>
          <w:rtl w:val="0"/>
        </w:rPr>
        <w:t xml:space="preserve">euro</w:t>
      </w:r>
      <w:r w:rsidR="00000000" w:rsidRPr="00000000" w:rsidDel="00000000">
        <w:rPr>
          <w:rtl w:val="0"/>
        </w:rPr>
        <w:t xml:space="preserve">. Noteikumu projekta MK sēdes protokollēmumā iekļautas Pasākumam pieejamā finansējuma nodrošināšanai nepieciešamās ERAF finansējuma pārdales no ES kohēzijas politikas programmas 2021.–2027. gadam  2.1.1. specifiskā atbalsta mērķa “Energoefektivitātes veicināšana un siltumnīcefekta gāzu emisiju samazināšana” 2.1.1.6. pasākuma “Pašvaldību ēku energoefektivitātes paaugstināšana” pirmās projektu iesniegumu atlases kārtas (turpmāk – 2.1.1.6. pasākuma pirmā atlases kārta) un no ES kohēzijas politikas programmas 2021.–2027. gadam  2.1.1. specifiskā atbalsta mērķa “Energoefektivitātes veicināšana un siltumnīcefekta gāzu emisiju samazināšana” 2.1.1.6. pasākuma “Pašvaldību ēku energoefektivitātes paaugstināšana” otrās projektu iesniegumu atlases kārtas (turpmāk – 2.1.1.6. pasākuma otrā atlases kārta), kur šo atlašu ietvaros ir izvērtēti visi projektu iesniegumi un palicis neizmantots ERAF finansējums - 2.1.1.6. pasākuma pirmajā atlases kārtā 635 136 </w:t>
      </w:r>
      <w:r w:rsidR="00000000" w:rsidRPr="00000000" w:rsidDel="00000000">
        <w:rPr>
          <w:i w:val="1"/>
          <w:rtl w:val="0"/>
        </w:rPr>
        <w:t xml:space="preserve">euro</w:t>
      </w:r>
      <w:r w:rsidR="00000000" w:rsidRPr="00000000" w:rsidDel="00000000">
        <w:rPr>
          <w:rtl w:val="0"/>
        </w:rPr>
        <w:t xml:space="preserve"> apmērā un 2.1.1.6. pasākuma otrajā atlases kārtā 2 901 667 </w:t>
      </w:r>
      <w:r w:rsidR="00000000" w:rsidRPr="00000000" w:rsidDel="00000000">
        <w:rPr>
          <w:i w:val="1"/>
          <w:rtl w:val="0"/>
        </w:rPr>
        <w:t xml:space="preserve">euro</w:t>
      </w:r>
      <w:r w:rsidR="00000000" w:rsidRPr="00000000" w:rsidDel="00000000">
        <w:rPr>
          <w:rtl w:val="0"/>
        </w:rPr>
        <w:t xml:space="preserve"> apmērā, kas atbilstoši MK 2024. gada 16. jūlija noteikumu Nr. 480 "Eiropas Savienības kohēzijas politikas programmas 2021. – 2027. gadam 2.1.1. specifiskā atbalsta mērķa "Energoefektivitātes veicināšana un siltumnīcefekta gāzu emisiju samazināšana" 2.1.1.6. pasākuma "Pašvaldību ēku energoefektivitātes paaugstināšana" pirmās projektu iesniegumu atlases kārtas īstenošanas noteikumi" (turpmāk – MK noteikumi Nr.480) 11. punktam un MK 2024. gada 5. novembra  noteikumu Nr. 700 "Eiropas Savienības kohēzijas politikas programmas 2021.–2027. gadam 2.1.1. specifiskā atbalsta mērķa "Energoefektivitātes veicināšana un siltumnīcefekta gāzu emisiju samazināšana" 2.1.1.6. pasākuma "Pašvaldību ēku energoefektivitātes paaugstināšana" otrās projektu iesniegumu atlases kārtas īstenošanas noteikumi" (turpmāk – MK noteikumi Nr. 700) 9. punktam novirzāmi Pasākuma īstenošanai. MK noteikumus Nr. 480 un MK noteikumus Nr. 700 administratīvā sloga mazināšanas nolūkos paredzēts grozīt tikai kopā ar citiem (būtiskiem) grozījumiem pēc nepieciešamības. 2.1.1.6. pasākuma otrās atlases kārtas atlikušais finansējums atbilstoši MK 2025. gada 7. oktobra sēdes protokola Nr. 41 46.§ 6. un 7. punktam 1 309 176 </w:t>
      </w:r>
      <w:r w:rsidR="00000000" w:rsidRPr="00000000" w:rsidDel="00000000">
        <w:rPr>
          <w:i w:val="1"/>
          <w:rtl w:val="0"/>
        </w:rPr>
        <w:t xml:space="preserve">euro</w:t>
      </w:r>
      <w:r w:rsidR="00000000" w:rsidRPr="00000000" w:rsidDel="00000000">
        <w:rPr>
          <w:rtl w:val="0"/>
        </w:rPr>
        <w:t xml:space="preserve"> apmērā novirzīts ES kohēzijas politikas programmas 2021. - 2027.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5. uzsaukuma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energoefektivitātes uzlabošanai un pārejai uz AER pašvaldības īpašumā esošām un izmantojamām ēkām, lai panāktu primārās enerģijas patēriņa samazinājumu un veicinātu pāreju uz AER izmantošanu enerģijas ražošanā, veicinās valsts enerģētisko neatkarību, tādā veidā dodot ieguldījumu visas ES noturībā un autonomijā.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projektu īstenošana tiešā veidā nodrošinās CO</w:t>
      </w:r>
      <w:r w:rsidR="00000000" w:rsidRPr="00000000" w:rsidDel="00000000">
        <w:rPr>
          <w:vertAlign w:val="subscript"/>
          <w:rtl w:val="0"/>
        </w:rPr>
        <w:t xml:space="preserve">2</w:t>
      </w:r>
      <w:r w:rsidR="00000000" w:rsidRPr="00000000" w:rsidDel="00000000">
        <w:rPr>
          <w:rtl w:val="0"/>
        </w:rPr>
        <w:t xml:space="preserve"> emisiju samazināšanu un gaisa kvalitātes uzlabošanu. Plānotās investīcijas energoefektivitātes uzlabošanā, publiskās infrastruktūras renovācijā un būvniecībā u.c. pasākumi veicina primārās enerģijas patēriņa un enerģijas galapatēriņa samazināšanu, fosilās enerģijas izmantošanas samazinājumu, aizvietošanu ar AER, enerģētiskās drošības un atkarības samazināšanas mērķu izpildi, CO</w:t>
      </w:r>
      <w:r w:rsidR="00000000" w:rsidRPr="00000000" w:rsidDel="00000000">
        <w:rPr>
          <w:vertAlign w:val="subscript"/>
          <w:rtl w:val="0"/>
        </w:rPr>
        <w:t xml:space="preserve">2</w:t>
      </w:r>
      <w:r w:rsidR="00000000" w:rsidRPr="00000000" w:rsidDel="00000000">
        <w:rPr>
          <w:rtl w:val="0"/>
        </w:rPr>
        <w:t xml:space="preserve"> emisiju un piesārņojošo vielu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izvirzīti šādi iznākuma un rezultāta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iznākuma rādītājs (RCO 19) – publiskās ēkas ar uzlabotu energoefektivitāti (turpmāk – rādītājs RCO 19) 22 146 m</w:t>
      </w:r>
      <w:r w:rsidR="00000000" w:rsidRPr="00000000" w:rsidDel="00000000">
        <w:rPr>
          <w:vertAlign w:val="superscript"/>
          <w:rtl w:val="0"/>
        </w:rPr>
        <w:t xml:space="preserve">2</w:t>
      </w:r>
      <w:r w:rsidR="00000000" w:rsidRPr="00000000" w:rsidDel="00000000">
        <w:rPr>
          <w:rtl w:val="0"/>
        </w:rPr>
        <w:t xml:space="preserve"> apmērā. ES kohēzijas politikas programmas 2021.–2027. gadam ietvaros noteikts sasniegt rādītāju RCO 19 27 454 m</w:t>
      </w:r>
      <w:r w:rsidR="00000000" w:rsidRPr="00000000" w:rsidDel="00000000">
        <w:rPr>
          <w:vertAlign w:val="superscript"/>
          <w:rtl w:val="0"/>
        </w:rPr>
        <w:t xml:space="preserve">2</w:t>
      </w:r>
      <w:r w:rsidR="00000000" w:rsidRPr="00000000" w:rsidDel="00000000">
        <w:rPr>
          <w:rtl w:val="0"/>
        </w:rPr>
        <w:t xml:space="preserve"> apmērā, kur 2.1.1.6. pasākuma pirmajā atlases kārtā tiek īstenoti projekti, kuros paredzēts sasniegt  rādītāju RCO 19 (5308 m</w:t>
      </w:r>
      <w:r w:rsidR="00000000" w:rsidRPr="00000000" w:rsidDel="00000000">
        <w:rPr>
          <w:vertAlign w:val="superscript"/>
          <w:rtl w:val="0"/>
        </w:rPr>
        <w:t xml:space="preserve">2</w:t>
      </w:r>
      <w:r w:rsidR="00000000" w:rsidRPr="00000000" w:rsidDel="00000000">
        <w:rPr>
          <w:rtl w:val="0"/>
        </w:rPr>
        <w:t xml:space="preserve">) apmērā, līdz ar to, ar Pasākumu paredzēts sasniegt atlikušo rādītāja RCO 19 vērtību (22 146 m</w:t>
      </w:r>
      <w:r w:rsidR="00000000" w:rsidRPr="00000000" w:rsidDel="00000000">
        <w:rPr>
          <w:vertAlign w:val="superscript"/>
          <w:rtl w:val="0"/>
        </w:rPr>
        <w:t xml:space="preserve">2</w:t>
      </w:r>
      <w:r w:rsidR="00000000" w:rsidRPr="00000000" w:rsidDel="00000000">
        <w:rPr>
          <w:rtl w:val="0"/>
        </w:rPr>
        <w:t xml:space="preserve">). Ja projekta rezultātā paredzēts mainīt ēkas būvapjomu (palielināt vai samazināt ēkas kopējo platību), rādītājā neieskaita ēkas palielināto vai samazināto kopējo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rezultāta rādītājs (r.2.1.1.a) – primārais enerģijas ikgadējais patēriņš (turpmāk – rādītājs r.2.1.1.a) 1 067 900 kWh/gadā apmērā, kas ir ES kohēzijas politikas programmas 2021.–2027. gadam ietvaros noteiktā rādītāja r.2.1.1.a. sasniedzamā vērtība, un, kas tiktu sasniegts, ja kopumā tiktu veikti ieguldījumi, kas nodrošina primārās enerģijas samazinājumu vismaz 1400 MWh/gadā apmērā (Pasākuma ietvaros paredzēts sasniegt primārās enerģijas samazinājumu vismaz 1030 MWh/gadā). 2.1.1.6. pasākuma pirmās kārtas projektu iesniegumu atlasē tiek īstenoti projekti, kuros, īstenojot iesniegtos projektus, indikatīvi paredzēts sasniegt rādītāja r.2.1.1.a. samazinājumu 510 MWh/gadā apmērā (2.1.1.6. pasākuma pirmās kārtas MK noteikumos  Nr.480 paredzēts sasniegt primārās enerģijas patēriņa samazinājumu par 370 MWh/gadā apmērā), līdz ar to, ar Pasākumu paredzēts sasniegt atlikušo rādītāja r.2.1.1.a. nesasniegto vērtību (primārās enerģijas patēriņš samazināts par 1030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iznākuma rādītājs (RCO 22) – uzstādītā AER izmantojošo tehnoloģiju enerģijas papildu ražošanas jauda (turpmāk – rādītājs RCO 22), kam nav noteikta sasniedzamā vērtība, jo ES kohēzijas politikas programmas 2021.–2027. gadam ietvaros rādītāja RCO 22 vērtība noteikta 2 MW apmērā, kur 2.1.1.6. pasākuma otrās atlases kārtas ietvaros tiek īstenoti projekti, kuros paredzēts sasniegt rādītāja RCO 22 vērtību 2,8 MW apmērā. Rādītājā atbilstoši ES kohēzijas politikas programmas 2021.–2027. gadam iekļautajiem specifisko atbalsta mērķu aprakstiem var tikt ieskaitīta gan siltumenerģijas, gan elektroenerģijas ražošanas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nacionālais rādītājs - kumulatīvais enerģijas galapatēriņa ietaupījums, kur šāds rezultāta rādītājs izvirzīts, lai atvieglotu pārskatāmību īstenotajiem projektiem un to rezultātiem, kā arī nodrošinātu vienkāršotāku Direktīvas (ES) 2023/1791 8. pantā izvirzīto mērķu uzraudzību (8. panta kumulatīvais enerģijas galapatēriņa ietaupījuma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atbalstāmās darbības, jānodrošina ēku energoefektivitāte un siltumnoturība līdz gandrīz nulles enerģijas ēkas vai bezemisiju ēkas līmenim, kā arī projekta ietvaros jāsasniedz kopējās primārās enerģijas ietaupījumu vismaz 30 procentu apmērā [1], ievērojot ēku energoefektivitāti un būvniecību regulējošajos normatīvajos aktos noteiktos izņēmumus un atkāpes pienākumam publiskajam sektoram ēku atjaunošanā un pārbūvē sasniegt gandrīz nulles enerģijas ēkas vai bezemisiju ēkas līmeni.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nenosaka ierobežojumus iesniedzamo projektu skaitam, noteikts ierobežojums, ka projekta iesniegumu var iesniegt tikai par vienu atsevišķu ēku. Ēka noteikumu projekta ietvaros ir atsevišķa ēka, vairākas ēkas, ja tām ir kopīga siltumenerģijas vai elektroenerģijas uzskaite, un arī ēkas daļa, ja tai ir atsevišķa siltumenerģijas un elektroenerģijas uzskaite un, ja šī ēkas daļa (ēkas sekcija, korpuss) pēc projekta īstenošanas kļūst par atsevišķu ēku ar atsevišķu ēkas būves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jāizpilda  horizontālo principu ”Vienlīdzība, iekļaušana, nediskriminācija un pamattiesību ievērošana”, “Nenodarīt būtisku kaitējumu”, “Energoefektivitāte pirmajā vietā”, “Klimatdrošināšana” prasības, kā arī ES un Latvijas Republikas normatīvie  akti vides aizsardzības jomā. Jānodrošina publiskā iepirkuma reglamentējošiem normatīvajiem aktiem vai "zaļā" publiskā iepirkuma vides prasību integrācija preču, pakalpojumu un būvdarbu iegādē, tādējādi ilgtermiņā mazinot ietekmi uz klimata pārmaiņām, koncentrējoties uz otrreizējo būvmateriālu un materiālu izmantošanu, tāpat priekšroka dodama videi draudzīgākiem materiāliem, kas satur mazāk kaitīgo vielu un precēm, pakalpojumiem un būvdarbiem ar augstu energoefektivitāti, izņemot, ja tas nav tehniski iespējams. Veicinot energoefektīvu preču, pakalpojumu un būvdarbu iepirkumus, tas samazinās tekošos rēķinus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investīcijas var veikt vai nu pašvaldības īpašumā esošajā ēkā, vai projekta iesniedzējas jeb finansējuma saņēmējas pašvaldības kapitālsabiedrības vai publiski privātās kapitālsabiedrības īpašumā vai bezatlīdzības turējumā esošā ēkā. Bezatlīdzības turējuma tiesības iespējamas, ja kapitālsabiedrība pilda pašvaldības deleģētos pārvaldes uzdevumus atbilstoši Valsts pārvaldes iekārtas likuma 40. panta pirmajai daļai un Publiskas personas finanšu līdzekļu un mantas izšķērdēšanas novēršanas likuma 5. panta otrajai daļai. Investīcijas iespējams veikt arī projekta iesniedzēja pārvaldīšanā esošajā nekustamajā īpašumā saskaņā ar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atjaunošanas un pārbūves pasākumi veicami saskaņā ar būvnormatīvos noteiktajām prasībām. Atbalstāmo darbību ietvaros tiks paredzēta iespēja risinājumiem, kas saistīti ar “zaļās infrastruktūras” vai AER izmantojošiem un enerģiju taupošiem risinājumiem, kā arī paredzēs iespējas nodrošināt atbilstošus lietus notekūdens sistēmu risinājumus intensīvu nokrišņu gadījumiem, atbilstoši telpu dzesēšanas un/vai ventilācijas risinājumus, lai nodrošinātu komforta temperatūru arī karstuma viļņu laikā un citus risinājums, kas veicina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 (saules enerģija, vēja enerģija, ģeotermālā enerģija un tml.) izmantojošu elektroenerģiju ražojošu un to saražotās enerģijas akumulējošās vai uzglabājošās iekārtas (atbalstāma uzstādīšana tikai kopā ar AER enerģiju ražojošām iekārtām) var uzstādīt gan projekta ēkā, gan ēkas funkcionālajā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Atbalstītas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kas paredzētas projekta ietvaros pārbūvējamās vai atjaunojamās ēkas energosertifikātā, kas izstrādāts atbilstoši Ministru kabineta 2021. gada 8. aprīļa noteikumiem Nr. 222 "Ēku energoefektivitātes aprēķina metodes un ēku energosertifikācijas noteikumi" (turpmāk – MK noteikumi Nr. 222), un kurām ir noteikts projektā plānotais kopējās primārās enerģijas ietaupījums: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*esošu ēku pārbūve vai atjaunošana, arī būvdarbi ēkas norobežojošajās konstrukcijās, kas nodrošina ēkas energoefektivitātes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*ēkai nepieciešamās siltumapgādes infrastruktūras pārbūve vai atjaunošana“, tai skaitā konstrukcijās iespējams veidot “zaļos jumtus” un “zaļās sienas”;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*apgaismojuma, dzesēšanas un ventilācijas sistēmu izveide, pārbūve vai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*gaisu piesārņojošo vielu emisiju attīrīšanas iekārtu iegāde vai nomaiņa cietās biomasas kurināmā siltumenerģijas ražošanas iekārtām, ja tiek veikta vienlaikus ar cietās biomasas kurināmā siltumenerģijas ražošanas iekārtu rekonstrukciju, iegādi, atjaunošanu vai nomaiņu;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*efektīvākas cietās biomasas apkures iekārtu uzstādīšanas gadījumā, nomainot novecojošas vai bojātas sadedzināšanas iekārtas, tiks atbalstītas tikai tādas darbības, kuru rezultātā paredzēts uzstādīt biomasas sadedzināšanas iekārtas, kas atbilst normatīvo aktu prasībām gaisa kvalitātes jomā, t.sk. atbilstoši MK 2021. gada 7. janvāra noteikumos Nr. 17 “Noteikumi par gaisa piesārņojuma ierobežošanu no sadedzināšanas iekārtām” noteiktajām prasībām. Tāpat, ja projektu plānots īstenot valstspilsētās vai novadu pilsētās, atbalsts cietās biomasas apkures iekārtu nomaiņai tiek sniegts, tikai, ja nav tehniski īstenojama vai neatmaksājās savā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pieslēguma efektīvai centralizētai siltumapgādes sistēmai izveidošana;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bezemisiju tehnoloģiju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Neatkarīgs eksperts ēku energoefektivitātes jomā vai sertificēts būvspeciālists siltumapgādes, ventilācijas un gaisa kondicionēšanas sistēmu projektēšanā sagatavo siltumenerģijas ražošanas avotu izmantošanas prioritārās kārtības izvērtējumu (turpmāk – Prioritārās kārtības izvērtējums). Prioritārās kārtības izvērtējums ir skaidrojošs apraksts, kas tiek pievienots projekta pieteikumam. Prioritārās kārtības izvērtējuma sagatavošanā tiek izvērtēti šādi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tehniskās iespējas pieslēgties primāri pie centralizētās siltumapgādes sistēmas. Ja tas tehniski nav iespējams, tad uzstādīt siltumsūkņus vai citas bezemisiju AER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ekonomiskā pamatotība - vērtējot konkrētā risinājuma potenciālās ieviešanas, kā arī lietošanas izmaksas, par ekonomiski nepamatotu risinājumu uzskatāms tāds risinājums, kas ir vismaz par 20 % dārgāks par citu iespējamo variantu;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juridiskie šķēršļi konkrētā risinājuma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valststpilsētās vai novada pilsētās paredzēts siltumapgādei uzstādīt citas AER tehnoloģijas, kas nav cietās biomasas apkures iekārtas, prioritārās kārtības izvērtējumu var neveikt un uzskatīt, ka projektā var prioritāri neveidot pieslēgumu centralizētajai siltumapgādes sistēmai, ja attālums no projekta ēkas ārsienas tuvākā punkta līdz centralizētās siltumapgādes tīkliem vai līdz to tuvākajai iespējamai pieslēguma vietai pārsniedz 20 metrus. Līdzvērtīgs risinājums par projekta ekonomisko vai tehnisko neiespējamību administratīvā sloga samazināšanas nolūkos jau piemērots ES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5. uzsaukuma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 izmantojošu enerģiju ražojošu, t.sk. enerģijas akumulēšanas vai uzglabāšanas iekārtu un ēkas enerģijas patēriņa vadībai nepieciešamo viedo tehnoloģiju iegāde un uzstādīšana, ar nosacījumu, ka 100 procenti no saražotās enerģijas tiks izmantoti ēkas pašpatēriņam. Sabiedrisko pakalpojumu (ūdenssaimniecības, siltumapgādes vai valsts vai pašvaldības apmaksātus veselības aprūpes pakalpojumus) sniegšanai ir jāizmanto visa saražotā enerģija vērtības izteiksmē, kas atbilst ēkā īstenoto sabiedrisko pakalpojumu sniegšanas jaudas īpatsvaram minēto pakalpojumu vērtības izteiksmē. Piemēram, ja ēkā sniegto sabiedrisko pakalpojumu jaudas īpatsvars finanšu izteiksmē ir 70 procenti (jaudas īpatsvaru nosaka gada ietvaros, pamatojoties uz pēdējo trīs finanšu gadu pārskatu datiem, salīdzinot ieņēmumus par sabiedriskajiem pakalpojumiem un ieņēmumus par citiem maksas pakalpojumiem), tad projekta attiecināmās izmaksās varēs iekļaut vienīgi 70 procentus no atbilstoši aprēķinātajām izmaksām un arī attiecīgi 70 procenti no saražotās enerģijas vērtības izteiksmē ir jāizmanto sabiedrisko pakalpojumu sniegšanas nodrošināšanai. Izmaksas 30 procentu apmērā tiks segtas no finansējuma, par kuru nav saņemts nekāda veida komercdarbības atbalsts un attiecīgi 30 procenti no saražotās enerģijas vērtības izteiksmē varēs izmantot citai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ražošanas iekārtu uzstādīšanas gadījumā nosacījuma izpilde tiek vērtēta, vērtējot projekta iesniegumam pievienotajiem dokumentiem, kam jāsniedz pietiekami skaidrs raksturojums par iekārtu tehniskajām iespējām patērēt enerģiju tikai pašpatēriņa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uzskatāma par izpildītu, ja kalendāra gada griezumā ar uzstādītajām iekārtām saražotā enerģija finanšu izteiksmē nenosedz projekta ēkas elektroenerģijas patēriņu un elektroenerģijas norēķinu sistēmā nav izveidojies saražotās enerģijas finanšu izteiksmē pārpalikums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pašpatēriņu neuzskata cita tā paša lietotāja citos ar projektu nesaistītos objektos patērēto elektroenerģiju, ja tās finanšu vērtība tiek segta daļēji vai pilnīgi, izmantojot norēķinu sistēmu atbilstoši Elektroenerģijas tirgus likuma 30.</w:t>
      </w:r>
      <w:r w:rsidR="00000000" w:rsidRPr="00000000" w:rsidDel="00000000">
        <w:rPr>
          <w:vertAlign w:val="superscript"/>
          <w:rtl w:val="0"/>
        </w:rPr>
        <w:t xml:space="preserve">5</w:t>
      </w:r>
      <w:r w:rsidR="00000000" w:rsidRPr="00000000" w:rsidDel="00000000">
        <w:rPr>
          <w:rtl w:val="0"/>
        </w:rPr>
        <w:t xml:space="preserve"> panta otrajai daļai. Šādā gadījumā finansējuma saņēmējam jānodrošina izsekojama uzskaite un aprēķini par elektroenerģijas un finanšu plūsmām, kas saistīti ar norēķinu sistēmas iespējām, kas pierāda, ka ir nodrošināta šī noteikumu projekta prasība par pašpatēriņu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*pieslēguma efektīvai centralizētajai siltumapgādes sistēmai izveide. Šo noteikumu ietvaros ar efektīvu centralizēto siltumapgādes sistēmu saprot Enerģētikas likuma 49.</w:t>
      </w:r>
      <w:r w:rsidR="00000000" w:rsidRPr="00000000" w:rsidDel="00000000">
        <w:rPr>
          <w:vertAlign w:val="superscript"/>
          <w:rtl w:val="0"/>
        </w:rPr>
        <w:t xml:space="preserve">1</w:t>
      </w:r>
      <w:r w:rsidR="00000000" w:rsidRPr="00000000" w:rsidDel="00000000">
        <w:rPr>
          <w:rtl w:val="0"/>
        </w:rPr>
        <w:t xml:space="preserve"> pantā definēto efektīvo centralizēto siltumapgādes sistēmu. Efektīvas centralizētās siltumapgādes sistēmu saraksts tiks sastādīts sadarbībā ar Klimata un enerģētikas ministriju un publicēts kopā ar atlases nolikumu Centrālās finanšu un līgumu aģentūras mājaslapā;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iekštelpu remontdarbi tādā apjomā, lai nodrošinātu telpu pilnu pabeigtību pēc ēkas energosertifikātā paredzēto pasākumu īstenošanas. Iekštelpu remontdarbi attiecināmi tikai uz to ēkas daļu, kas tiek tieši skarta energoefektivitātes paaugstināšanas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enerģijas patēriņa vadības viedo tehnoloģiju iegādes, piegādes, uzstādīšanas, ieregulēšanas un programmatūru licences vai programmatūras lietošanas pakalpojuma iegādes, kā arī viedo tehnoloģiju darbības nodrošināšanai nepieciešamo mākoņservisu izmantošanas izmaksas. Pasākuma ietvaros attiecināmas ir tikai vienreizējas (viens maksājums par pakalpojumu) programmatūras licences un mākoņservisu izmantošanas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iekšējo un ārējo inženiertīklu atjaunošana vai pārbūve ēkā un ēkas funkcionālajā teritorijā, ja šo tīklu tehniskais stāvoklis ir slikts vai funkcionalitāte ir nepietiekošā līmenī un šo darbu veikšana rekomendēta ēkas tehniskās apsekošanas atzinumā. Ēkas tehniskās apsekošanas atzinumam uz projekta iesnieguma iesniegšanas dienu jābūt spēkā esošam un izstrādātam saskaņā ar Ministru kabineta 2021. gada 15. jūnija noteikumiem Nr. 384 “Būvju tehniskās apsekošanas būvnormatīvs LBN 405-21”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nav atbalstāma atslēgšanās no efektīvas centralizētās siltumapgādes sistēmas, ja ēka pirms projekta īstenošanas ir pieslēgta efektīvai centralizētajai siltumapgādes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Pasākuma iznākuma un rezultāta rādītāju sasniegšanu, projektiem  jāatbilst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kopējās primārās enerģijas ietaupījums pēc projekta īstenošanas ir ne mazāks kā 30 procenti gadā no ēkas energosertifikātā aprēķinātā kopējās primārās enerģijas patēriņa pirms projekta īstenošanas. Šis nosacījums nodrošina, ka tiek atjaunotas ēkas ar zemāko energoefektivitāti un energosniegumu;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 ēku energoefektivitāte un siltumnoturība līdz gandrīz nulles enerģijas ēkas vai bezemisiju ēkas līmenim, ievērojot ēku energoefektivitāti un būvniecību regulējošajos normatīvajos aktos noteiktos izņēmumus un atkāpes no pienākuma publiskajam sektoram ēku atjaunošanā un pārbūvē sasniegt gandrīz nulles enerģijas ēkas vai bezemisiju ēkas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nodrošināts, ka ēkām tiek uzstādītas piemērotas saules AER izmantojošas enerģijas ražošanas iekārtas. Prasības nav attiecināmas, ja kultūrvēsturiskā mantojuma saglabāšanai, tehnisku vai ekonomisku iemeslu dēļ nav pieļaujama šādu sistēmu uzstādīšana, ja ēkai jau pirms projekta īstenošanas ir uzstādītas piemērotas saules AER izmantojošas enerģijas ražošanas iekārtas, vai ēkām, kurām ir mazāka kopējā platība par 250 m</w:t>
      </w:r>
      <w:r w:rsidR="00000000" w:rsidRPr="00000000" w:rsidDel="00000000">
        <w:rPr>
          <w:vertAlign w:val="superscript"/>
          <w:rtl w:val="0"/>
        </w:rPr>
        <w:t xml:space="preserve">2</w:t>
      </w:r>
      <w:r w:rsidR="00000000" w:rsidRPr="00000000" w:rsidDel="00000000">
        <w:rPr>
          <w:rtl w:val="0"/>
        </w:rPr>
        <w:t xml:space="preserve">, un, uz kurām neattiecas normatīvajos aktos noteiktiem pienākumi šādu sistēmu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projekta īstenošanas rezultātā ir jānodrošina minimālo energoefektivitātes prasību sasniegšana atbilstoši MK 2019. gada 25. jūnija noteikumos Nr.280 “Noteikumi par Latvijas būvnormatīvu LBN 002-19 "Ēku norobežojošo konstrukciju siltumtehnika"”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finansējuma saņēmējs piecus gadus pēc projekta īstenošanas nodrošina sasniegto rezultātu uzturēšanu un līdzekļus projekta rezultātu uzturēšanai. Finansējuma saņēmējs iesniedz sadarbības iestādei (Centrālajai finanšu un līgumu aģentūrai) pārskatu par enerģijas patēriņu attiecīgajā ēkā. Finansējuma saņēmējam ir pienākums ziņot par projekta enerģijas patēriņa rādītājiem saskaņā ar Energoefektivitātes likuma 15. panta ceturto daļu, pēc projekta pabeigšanas iesniedzot informāciju par objekta enerģijas patēriņu pirms un pēc projekta īstenošanas, izmantojot sadarbības iestādes tīmekļa vietnē  publicēto veidlapu. Pārskatu iesniedz vienu reizi, norādot informāciju par pirmo pilno kalendāro gadu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atbalstāmās darbības un attiecināmās izmaksas arī projekta ēkas funkcionālajā teritorijā (ēkai piegulošā ārtelpa - projekta iesniedzēja vai pašvaldības īpašumā esošs zemesgabals vai zemesgabali, uz kuriem atrodas ēka vai kuri vismaz vienā punktā skar ēkas ārējās kontūras), projektam kopā nepārsniedzot 10 procentus no projekta kopējām plānotajām attiecināmajām izmaksām. Šajā teritorijā var izveidot dabā balstītus risinājumus vai “zaļo infrastruktūru”, kā, piemēram, var ietilpt teritorijas apzaļumošana (piemēram, koku, krūmu un citu daudzgadīgo augu apstādījumi, dzīvžogi), un citas darbības, kas var sekmēt ēkas apkārtnes dzīves vides kvalitātes uzlabošanu, tai skaitā Eiropas Parlamenta un Padomes 2024. gada 24. jūnija Regulas 2024/1991 </w:t>
      </w:r>
      <w:r w:rsidR="00000000" w:rsidRPr="00000000" w:rsidDel="00000000">
        <w:rPr>
          <w:i w:val="1"/>
          <w:rtl w:val="0"/>
        </w:rPr>
        <w:t xml:space="preserve">par dabas atjaunošanu un ar ko groza Regulu (ES) 2022/869</w:t>
      </w:r>
      <w:r w:rsidR="00000000" w:rsidRPr="00000000" w:rsidDel="00000000">
        <w:rPr>
          <w:rtl w:val="0"/>
        </w:rPr>
        <w:t xml:space="preserve"> urbāno ekosistēmu mērķu sasniegšanu - pilsētu zaļo zonu un pilsētu koku vainagu projekcijas īpatsvara palielināšanu, pretplūdu risinājumi projekta teritorijā (t.sk. lietusūdens savākšanas dīķi, kanāli, divpakāpju meliorācijas grāvji, mākslīgie mitrāji un mitrzemes, ūdens laukumi un kanāli notekūdeņu sistēmas atslogošanai, notekas, ūdens caurlaidīga ietves izbūve, biofiltri lietus ūdeņu noteces regulēšanai, buferjoslas, zālāju joslas erozijas mazināšanai un barības vielu piesaistei un citi dabā balstīti risinājumi vai AER izmantojošu, vai enerģiju taupošu risinājumu izveidi, kā arī bezemisiju mobilitāti veicinošus pasākumus, tiktāl, cik to īstenošana netiek kvalificēta kā komercdarbības atbalsts. Šo noteikumu projekta izpratnē ārtelpas izgaismošana ir ēkai piegulošās teritorijas apgaismojums (laternas, dārza izgaismojums u.tml.). Ēkas funkcionālajā teritorijā var ietilpt apstādījumi, ūdenstilpnes, lieveņi, terases, ēkas, ietvju un pievadceļu apgaismojums, pandusi, uzbrauktuves, ēkai piegulošie ūdensapgādes, kanalizācijas, elektroapgādes, siltumapgādes inženiertīkli, informatīvie stendi un citas inženierbūves un objekti, kas nodrošina pašvaldības ēkas funkcionālu ekspluatāciju. Jebkurš teritorijas labiekārtojums nav energoefektivitātes pasākums un tas nebūs minēts energosertifikātā, tomēr šīs izmaksas var attiecināt, ja projekta ietvaros tiek sasniegts kopējās primārās enerģijas samazinājums par vismaz 30 procentiem. Vienlaikus noteikumu projekts paredz, ka ēkas funkcionālajā teritorijā pasākumu kopējās primārās enerģijas ietaupījumu nosaka un iekļauj projekta sasniedzamajos rādītājos tikai, ja atbilstoši normatīvajiem aktiem par ēku energoefektivitātes aprēķina metodēm un ēku energosertifikāciju attiecīgie procesi iekļaujas ēkas energoefektivitātes novērtējuma robežas ietvaros un procesu enerģijas patēriņš pēc pasākuma īstenošanas nepārsniedz enerģijas patēriņu, kas procesam tika patērēts pirms pasākuma īstenošanas. Ja projekta ietvaros ēkas nodrošināšanai ir paredzēts izveidot AER enerģijas ražošanas iekārtas - saules paneļus vai saules kolektorus elektroenerģijas vai siltumenerģijas ražošanai, un, ja iekārtas pamatotu iemeslu dēļ nav iespējams izvietot ēkā vai ēkas funkcionālajā teritorijā (uz ēkas zemesgabala vai zemesgabala, kurš vismaz vienā punktā skar ēkas ārējo kontūru), iekārtu uzstādīšanu var veikt uz projekta iesniedzēja vai pašvaldības īpašumā esoša zemesgabala, kas atrodas blakus zemesgabalam, uz kura atrodas ēka, ja minētās iekārtas tiks tieši pieslēgtas ēkas energoinfrastruktūrai (izmantots ēku apkalpojošs pieslēgums elektrotīkliem, ja tiek paredzēts risinājums ar pieslēgumu elektrotīkliem), un siltumenerģijas ražošanas gadījumā iekārtas tiks tieši pieslēgtas ēkas iekšējiem siltumtīkliem, tai skaitā saražoto siltumenerģiju un elektroenerģiju varēs ieskaitīt kā uz vietas saražoto enerģiju atbilstoši normatīvajiem aktiem par ēku energoefektivitātes aprēķina metodēm un ēku energosertifikāciju. Zemesgabals, kas atrodas tieši blakus zemesgabalam, uz kura atrodas projekta ēka, noteikumu projekta ietvaros ir tāds zemesgabals, kam ir kopīga zemesgabala robeža ar projekta ēkas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funkcionālajā teritorijā ir iespējams veikt dažādus uzlabojumus, tomēr tiem ir jāatbilst noteikumu projekta atbalstāmajām darbībām un attiecināmajām izmaksām un visas izmaksas, kas projekta ietvaros ieplānotas ēkas funkcionālajā teritorijā var nebūt attiecināmas. Piemēram, esoša žoga demontāža un jauna žoga montāža var būt attiecināma, ja tiek veidots dzīvžogs vai darbība sasaistīta ar “zaļās” infrastruktūras elementiem.  Bruģakmens seguma atjaunošana un izbūve pie ēkas galvenās ieejas var būt attiecināma, ja tā saistīta ar vides pieejamības nodrošināšanas prasībām. Ugunsgrēka atklāšanas un trauksmes signalizācijas sistēmas izbūves darbi un zibensaizsardzības sistēmas izbūves darbi būs attiecināmi, ja šie pasākumi būs saistīti ar energoefektivitātes pasākumu kopumu un iekļauti ēkas energosertifikātā vai arī šo darbu veikšana rekomendēta ēkas tehniskās apsekošanas atzinumā.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ģeopolitisko situāciju pasaulē, īpaši Krievijas uzsākto karadarbību Ukrainā, nepieciešams būt proaktīviem un aktivizēt pasākumus, kas saistīti ar civilās aizsardzības sistēmas funkcionēšanu kara vai militāra iebrukuma gadījumā, tostarp jautājumiem par patvertņu izveidošanu vai iekārtošanu esošo ēku pagrabstāvos vai cokola stāvos.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pašvaldību ēku tiks saņemts Valsts ugunsdzēsības un glābšanas dienesta (turpmāk – VUGD) ēkas pagrabstāva novērtējums atbilstoši VUGD Vadlīnijām par minimālajām prasībām telpu pielāgošanai III kategorijas patvertnes izveidošanai, tad tiks sniegts atbalsts esošu telpu pārbūvei vai atjaunošanai, pielāgojot tās III kategorijas patvertņu ierīkošanai, kas paredzētas cilvēku aizsardzībai no bīstamiem faktoriem, mazinot ārēja sprādziena triecienviļņa un šķembu ietekmi, kas rodas katastrofas, militāra iebrukuma vai kara gadījumā. Atbalsts nepieciešams, jo atbilstoši Iekšlietu ministrijas informatīvajā ziņojumā “Par tālāko rīcību patvertņu jautājumā” (MK 2024. gada 9. janvāra sēdes prot. Nr.1, 95.§, 23-TA-687) norādītajam, lai nepieciešamības gadījumā nodrošinātu pietiekamu patvertņu pieejamību iespējami lielākam skaitam cilvēku, būtu nepieciešams pielāgot un aprīkot vairāk nekā 15 tūkstošus ēku pazemes stāvus vai pagrabtelpas. Vienlaikus valstī ir liels skaits ēku ar pazemes stāvu vai cokola stāvu, kur potenciāli varētu izveidot patvertni. Civilā aizsardzība un katastrofu pārvaldīšana ir viens no visaptverošās valsts aizsardzības sistēmas ieviešanas pamatdarbības virzieniem, kas veido visaptverošās valsts aizsardzības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atjaunojamās pašvaldību publiskās ēkās, ja tās tehniski ir piemērotas un tām ir pieejamas attiecīgas telpas, ja nepieciešams, ir iespējams izveidot atbilstošu infrastruktūru patvertņu vajadzībām militāra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Atbalstītas tiek izmaksas, kas saistītas ar telpu pārbūvi vai atjaunošanu atbilstoši III kategorijas patvertnes funkcionālajām prasībām,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*telpām vai telpu grupām nepieciešamās elektroenerģijas pieejamības nepārtrauktības infrastruktūras (tostarp inženiertīklu pievadu) izbūve, pārbūve vai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vai telpu grupu ieejas durvju, lūku un citu evakuācijas ceļu risinājumu izveide vai esošo aizvietošana ar tādiem, kas ir ugunsizturīgi vai veidoti no degtnespējīgiem materiāliem, tai skaitā būvniecība, kas nodrošina ārēja sprādziena triecienviļņa ietekmes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vai telpu grupu logu un tehnisko atveru nodrošināšana ar aizsargvairoga konstrukcijām vai citiem alternatīviem risinājumiem, kas nodrošina ārējas ietekmes mazināšanu sprādziena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vai telpu grupu esošo sanitārtehnisko telpu pārbūve vai atjaunošana, kā arī norobežojumu izveide telpās alternatīvu sanitārtehnisko risinājumu (piemēram, sauso tualešu)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konstrukciju (izņemot nesošās konstrukcijas) demontāžas darbi, tai skaitā starpsienu nojaukšana;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*risinājumi telpu vai telpu grupu piekļūstamības nodrošināšanai (patstāvīgi vai ar citu personu vai palīglīdzekļu palīdzību) personām ar ierobežotām pārvietošanās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*telpām vai telpu grupām nepieciešamās ventilācijas (mehāniskās vai dabīgās) sistēmas atjaunošana vai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*telpām vai telpu grupām nepieciešamās dzeramā ūdens apgādes sistēmas atjaunošana vai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kas saistīti ar objekta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Atbalstītas tiek izmaksas, kas saistītas ar III kategorijas patvertnes funkcionālajām prasībām atbilstoša telpu vai telpu grupu aprīkojuma iegādi un uzstādīšanu,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autonomas ražošanas un uzglabāšanas iekārtu iegāde un uzstādīšana vai citi alternatīvi elektroenerģijas padeves risinājumi. Lai patvertnēs nodrošinātu elektroapgādes un apgaismojuma prasības un elektroenerģijas pārtraukuma gadījumā nodrošinātu elektroenerģijas nepārtrauktību, atbalsta ietvaros tiek attiecinātas izmaksas autonomu elektroenerģijas ražošanas un uzglabāšanas iekārtu iegādei un uzstādīšanai. Piemēram, attiecinātas izmaksas par elektroģeneratoriem, kas tiek darbināti, piemēram, ar benzīnu, gāzi vai dīzeļdegvielu. Ievērojot to, ka minētajām iekārtām nav alternatīvu risinājumu krīzes situācijā, uzskatāms, ka pasākuma ietvaros atbalsts šādu iekārtu iegādei patvertņu aprīkošanai ar mērķi nodrošināt cilvēku aizsardzību galējās nepieciešamības apstākļos (civilo aizsardzību katastrofas, militāra iebrukuma vai kara gadījumā) nepārkāpj Eiropas Parlamenta un Padomes 2021. gada 24. jūnija Regulas (ES) 2021/1058 </w:t>
      </w:r>
      <w:r w:rsidR="00000000" w:rsidRPr="00000000" w:rsidDel="00000000">
        <w:rPr>
          <w:i w:val="1"/>
          <w:rtl w:val="0"/>
        </w:rPr>
        <w:t xml:space="preserve">par Eiropas Reģionālās attīstības fondu un Kohēzijas fondu</w:t>
      </w:r>
      <w:r w:rsidR="00000000" w:rsidRPr="00000000" w:rsidDel="00000000">
        <w:rPr>
          <w:rtl w:val="0"/>
        </w:rPr>
        <w:t xml:space="preserve"> 7. panta h) punktā noteikto prasību attiecībā uz ieguldījumiem iekārtās, kuras darbina ar fosilo kurināmo;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*sanitārtehniskā aprīkojuma iegāde un uzstādīšana (piemēram, sausās tualetes, tualešu teltis un citi autonomi tualešu risinājumi un to darbības nodrošināšanas papildaprīkojums), tai skaitā atbilstoši pielāgots aprīkojums personām ar kustību ierobežojumiem un, ja iespējams, aprīkojums mazu bērnu aprūpei;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*autonomu dūmu detektoru un ugunsdzēsības pārklāju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materiālu iegāde pirmās palīdzības aptieciņai;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savākšanas un šķirošanas tvertņu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*sēdēšanai un gulēšanai paredzēta aprīkojuma (piemēram, solu, krēslu, gultu)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*apgaismojuma avota (tai skaitā autonoma apgaismojuma risinājuma) aprīkojuma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*interneta tīkla maršrutētāja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*aprīkojuma mobilo sakaru nodrošināšanai telpās vai telpu grupās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*elektroierīču uzlādei paredzēta aprīkojuma iegāde, kas nepieciešams patvertnes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instrumentu (piemēram, lāpstas, laužņi, cirvji, zāģi, iekārtas armatūras pārgriešanai) iegāde, lai nodrošinātu iespēju atbrīvot telpu vai telpu grupu ieeju un izeju no gruvešiem;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*patvertnes norādes zīmes (tai skaitā norāžu plāksnes vai zīmes Braila rakstā un starptautiskās invaliditātes zīmes)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Atbalstītas tiek darbības vides un informācijas piekļūstamības īpašai nodrošināšanai. Šajās darbībās var ietilpt dažādi infrastruktūras risinājumi personām ar kustību, redzes, dzirdes vai garīga rakstura traucējumiem, vecāka gadagājuma cilvēkiem un vecākiem ar maziem bērniem. Labās prakses ieteikumi vides piekļūstamības nodrošināšanai papildus 2021. gada 19. oktobra MK noteikumu Nr. 693 "Būvju vispārīgo prasību būvnormatīvs LBN 200-21" noteiktajam pieejami Labklājības ministrijas tīmekļa vietnē. Papildus atbalstāma arī velosipēdu stāvvietu vietu izveide, tai skaitā tādu, kas vajadzīga arī lielāka izmēra velosipēdiem nekā standarta velosipēdi. Šīs prasības izriet no Direktīvas 2024/1275 14. panta prasībām, kas jāpārņem līdz 2026. gada 29. maijam un var būt jāpiemēro daļai no Pasākumā atbalstāmajiem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atbalstāmās darbības pilnībā atbilst klimata pārmaiņu mazināšanas mērķim, mazināt siltumnīcefekta gāzu emisijas, ēku un infrastruktūras atjaunošanas rezultātā uzlabojot to energoefektivitāti un samazinot energoresursu patēriņu, kā arī veicinot pāreju uz AER tehnoloģiju izmantošanu, jo tiks atbalstīti tikai tādi ēku atjaunošanas projekti, kas paredzēs kopējās primārās enerģijas samazinājumu (salīdzinot ar situāciju pirms investīcijām, kā arī veicinās Direktīvas (ES) 2023/1791 6.pantā noteikto prasību izpildi un virzību uz gandrīz nulles enerģijas ēkām vai bezemisiju ēkām) atbilstoši nacionālajos normatīvajos aktos iestrādātajām prasībām. Atbilstoši Ekonomikas ministrijas (turpmāk – EM) ierosinātajiem grozījumiem MK noteikumos Nr. 222 (25-TA-2785) ir izvērtētas iespējas iekļaut tādas prasības gandrīz nulles enerģijas ēkām, kas atbilst publisku ēku atjaunošanas vai pārbūves projektiem, kas sasniedz zemākas klases līmeni ēkas apkures energoefektivitātes novērtējumam (salīdzinot ar to, kas ir iekļauts šobrīd spēkā esošajos MK noteikumos Nr.222). VARAM ir izvērtējusi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ietvaros pašvaldību iesniegtos projektu iesniegumus un īstenoto projektu datus no ēku pagaidu energosertifikātiem, un secināja, ka pašvaldības saskaras ar izaicinājumiem ēku energoefektivitātes projektu realizācijā sasniegt A vai B klases ēkas energoefektivitātes novērtējumu tieši apkurei, par ko attiecīgi VARAM ir informējusi arī Ekonomikas ministriju. Līdz ar to šobrīd sadarbībā ar atbildīgajām ministrijām tiek strādāts pie risinājuma, lai direktīvu uzliktās saistības būtu samērīgas un prasību izpildei piemērojamie risinājumi sasniedzami izmaksu efektīvā veidā. Atbilstoši ES fondu 2021.-2027.gada plānošanas perioda uzraudzības komitejas 2026. gada 11. marta lēmumam Nr.2026/5.2-6/16/9 “Par projekta iesnieguma vērtēšanas kritēriju apstiprināšanu” 3.punktam noteikumu projekta MK sēdes protokolā noteikts pienākums Ekonomikas ministrijai noteiktā kārtībā līdz 2026. gada 1. jūlijam iesniegt apstiprināšanai Ministru kabinetā grozījumus MK noteikumos Nr. 222, precizējot gandrīz nulles enerģijas ēkas energoefektivitātes klases prasības. Tādējādi nodrošinot, ka uz projektu iesniegumu atlases izsludināšanas brīdi projektu iesniedzējiem ir precīzi noteikti sasniedzamie līmeņi gandrīz nulles enerģijas ēkām. Projektu iesniegumu atlase tiks izsludināta tikai pēc minēto grozījumu MK noteikumos Nr. 222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pienākums publiskajam sektoram izpildīt Direktīvas Nr. 2023/1791 6. panta 1. punkta prasības plānots un iekļauts tiesību akta projektā (25-TA-2969) “Grozījumi Ēku energoefektivitātes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 ēku energoefektivitātes un būvniecību regulējošajos normatīvajos aktos noteiktajiem izņēmumiem un atkāpēm no pienākumiem ir saprotami izņēmumi un atkāpes, kas attiecas uz atvieglotām prasībām ēkai sasniegt gandrīz nulles enerģijas ēkas vai bezemisiju ēkas līmeni, piemēram, noteiktam ēkas lietošanas veidam ir noteikts, ka tā atjaunošanas vai pārbūves rezultātā drīkst sasniegt ne tik augstu līmeni kā gandrīz nulles enerģijas ēkas līmenis. Tādā gadījumā projekta iesniegums, kas neizpilda vispārējās gandrīz nulles enerģijas ēkas prasības, bet, izpildot visus citus atlasei izvirzītos nosacījumus, var tikt atbalstīts, ja šajā projekta iesniegumā ir norādīta atsauce uz normatīvo aktu, saskaņā ar kuru ir piemērota konkrētā atkāpe vai izņēmums.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jāplāno vispārējo gandrīz nulles enerģijas ēkas prasību, piemērotu saules enerģijas sistēmu uzstādīšanas prasību un bezemisiju mobilitātes prasību izpilde atbilstoši projektu iesniegumu atlases izsludināšanas brīdī spēkā esošajiem, atlases nolikumā un šo noteikumu projekta anotācijā minētajiem energoefektivitāti un būvniecību regulējošajiem normatīvajiem aktiem, vienlaikus, ja līdz projektu līgumu vai vienošanās slēgšanas brīdim Ēku energoefektivitātes likumā vai citos energoefektivitāti un būvniecību regulējošajos normatīvajos aktos tiks noteikti publiskā sektora ēku atjaunošanai vai pārbūvei specifiski izņēmumi un atkāpes gandrīz nulles enerģijas ēkas vai bezemisiju ēkas līmeņa sasniegšanai, vai tiks konstatētas atšķirības starp projektos iekļauto risinājumu un normatīvajā regulējumā noteikto risinājumu piemērotu saules enerģijas sistēmu uzstādīšanai vai bezemisiju mobilitātes prasību izpildei, tad  projektu izvērtēšanas procesā, nemainot projektā sasniedzamos mērķus un rezultātus pēc būtības, nosacījumu izpildes procesā pieļaujams precizēt projekta iesniegumu, tajā ietverot risinājumu, kas ir atbilstošs attiecīgajā brīdī spēkā esošam normatīvajam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izmaksas ir attiecināmas no 2023. gada 1. janvāra, kā arī, ka projekta iesniegumā neiekļauj un finansējumu nepiešķir pabeigtām darbībām un objektiem, kas ir pieņemti ekspluatācijā. Ar pabeigtām darbībām un objektiem, kas ir pieņemti ekspluatācijā, noteikumu projekta ietvaros saprot pabeigtu projektu vai pakalpojumu līgumu, kas uz projekta iesnieguma iesniegšanas dienu, neietverot garantijas saistību nodrošināšanu, ir pilnībā pabeigts, piemēram, pilnībā funkcionāls saules paneļu parks elektroenerģijas ražošanai vai atjaunota ēka, kas pieņemta ekspluatācijā. Par pabeigtu darbību un objektu neuzskata projekta pamatojošo dokumentāciju, ja tās iecerētais rezultāts nav uzskatāms par sasniegtu.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nosacījumi attiecas vienādi uz visiem projektu iesniegumu iesniedzējiem, tajā skaitā sabiedrisko pakalpojumu (ūdenssaimniecības, siltumapgādes vai valsts vai pašvaldības apmaksātus veselības aprūpes pakalpojumus) sniedzējiem, kuriem vienlaikus ir jābūt spēkā esošam pilnvarojuma aktam – sabiedrisko pakalpojumu sniegšanas līgumam, kurā ievēroti visi Eiropas Komisijas 2025. gada 16. decembra Lēmuma Nr. 2025/2630 </w:t>
      </w:r>
      <w:r w:rsidR="00000000" w:rsidRPr="00000000" w:rsidDel="00000000">
        <w:rPr>
          <w:i w:val="1"/>
          <w:rtl w:val="0"/>
        </w:rPr>
        <w:t xml:space="preserve">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r w:rsidR="00000000" w:rsidRPr="00000000" w:rsidDel="00000000">
        <w:rPr>
          <w:rtl w:val="0"/>
        </w:rPr>
        <w:t xml:space="preserve"> (turpmāk – Komisijas lēmums Nr. 2025/2630) 4. panta nosacījumi. Noteikumu projekta ietvaros atbalsts sniedzams sabiedrisko pakalpojumu sniedzējiem, kas noteikti Komisijas lēmuma Nr. 2025/2630 2. panta 1. punkta a) un b) apakšpunktā. Iepriekšminētā a) apakšpunkta nosacījumi attiecināmi uz sabiedrisko ūdenssaimniecības un siltumapgādes pakalpojumu sniedzējiem, bet atbalsts nav sniedzams kritiski svarīgo zāļu nodrošinātājiem.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sniedzams kā kompensācija (atlīdzības maksājums) par sabiedriskajiem pakalpojumiem dažiem uzņēmumiem, kuriem uzticēts sniegt pakalpojumus ar vispārēju tautsaimniecisku nozīmi, tas ir, komercdarbības atbalsts tiek piešķirts par sabiedrisko pakalpojumu īstenošanu. Līdz ar to atbalstu var saņemt tikai tāds uzņēmums, kas faktiski sniedz sabiedriskos pakalpojumus, jo īpaši ņemot vērā, ka Komisijas lēmums Nr. 2025/2630 paredz piešķirt kompensācijas uzņēmumiem (pakalpojuma sniedzējiem) par vispārējas tautsaimnieciskas nozīmes pakalpojumu sniegšanu. Izriet, ka projekta iesniedzējam jeb finansējuma saņēmējam jābūt attiecīgo sabiedrisko (ūdenssaimniecības, siltumapgādes vai valsts vai pašvaldības apmaksātu veselības aprūpes)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sabiedrisko pakalpojumu (ūdenssaimniecība,  siltumapgāde vai valsts vai pašvaldības apmaksāti veselības aprūpes pakalpojumi) nodrošinātājiem tiks sniegts saskaņā ar Komisijas lēmumu Nr. 2025/2630.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2.1.1.6. pasākuma trešās atlases kārtas ietvaros pretendētu uz komercdarbības atbalstu kā kompensāciju par sabiedriskajiem pakalpojumiem dažiem uzņēmumiem, kuriem uzticēts sniegt pakalpojumus ar vispārēju tautsaimniecisku nozīmi, gan ūdenssaimniecības, gan siltumapgādes, gan valsts vai pašvaldības apmaksātiem veselības aprūpes pakalpojumu sniedzējiem jābūt noslēgtiem sabiedrisko pakalpojumu līgumiem ar pašvaldībām, kuru administratīvajās teritorijās attiecīgie sabiedriskie pakalpojumi tiek sniegti vai, ja tiek sniegti valsts apmaksāti veselības aprūpes pakalpojumi, noslēgts līgums ar Nacionālo veselības dienestu, un šajos pakalpojumu līgumos ir jāietver Komisijas lēmumā Nr. 2025/2630 izvirzītie nosacījumi. Ja pakalpojuma līgums noslēgts saskaņā ar Komisijas 2012. gada 20. decembra Lēmumu Nr. 2012/21/ES </w:t>
      </w:r>
      <w:r w:rsidR="00000000" w:rsidRPr="00000000" w:rsidDel="00000000">
        <w:rPr>
          <w:i w:val="1"/>
          <w:rtl w:val="0"/>
        </w:rPr>
        <w:t xml:space="preserve">par Līguma par Eiropas Savienības darbību 106. panta 2. 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pilnvarojuma uzlicējiem un finansējuma saņēmējiem grozījumi pilnvarojuma aktos (pakalpojumu līgumos), lai tie atbilstu Komisijas lēmumam Nr. 2025/2630, ir jāveic  līdz projekta iesnieguma iesniegšanai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summa nedrīkst būt lielāka par summu, kas nepieciešama, lai segtu neto izmaksas, kas rodas, pildot sabiedrisko pakalpojumu sniegšanas pienākumus, tostarp saprātīgu peļņu. Šo noteikumu ietvaros kompensācijas tiks piešķirtas ieguldījumiem pamatlīdzekļos. Komercdarbības atbalstu, kas piešķirts šo noteikumu ietvaros nedrīkst kumulēt ar </w:t>
      </w:r>
      <w:r w:rsidR="00000000" w:rsidRPr="00000000" w:rsidDel="00000000">
        <w:rPr>
          <w:i w:val="1"/>
          <w:rtl w:val="0"/>
        </w:rPr>
        <w:t xml:space="preserve">de minimis</w:t>
      </w:r>
      <w:r w:rsidR="00000000" w:rsidRPr="00000000" w:rsidDel="00000000">
        <w:rPr>
          <w:rtl w:val="0"/>
        </w:rPr>
        <w:t xml:space="preserve"> atbalstu citu atbalsta programmu vai individuālā atbalsta projektu ietvaros. Taču drīkst kumulēt ar citu komercdarbības atbalstu, kas sniegts vispārējas tautsaimnieciskas nozīmes pakalpojumu sniegšanai saskaņā ar Komisijas lēmumu Nr. 2025/2630​​​, citas atbalsta programmas vai individuālā atbalsta projekta ietvaros par vienām un tām pašām attiecināmajām izmaksām, ja pēc atbalstu apvienošanas atbalsta vienībai vai izmaksu pozīcijai attiecīgā maksimālā atbalsta intensitāte nepārsniedz 100 procentus. Par komercdarbības atbalsta kumulāciju atbalsta saņēmējs sadarbības iestādē iesniedz informāciju par plānoto un piešķirto atbalstu par tām pašām attiecināmajām izmaksām, norādot atbalsta piešķiršanas datumu (tai skaitā plānoto atbalsta piešķiršanas datumu), atbalsta sniedzēju, atbalsta pasākumu un plānoto vai piešķirto atbalsta summu un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atbalstu ēkai, kurā darbojas sabiedrisko pakalpojumu sniedzējs, atbalsts var tikt piešķirts tikai tai ēkas daļai, kurā tiek sniegti sabiedriskie pakalpojumi. Ja ēkā sabiedrisko pakalpojumu sniedzējs darbojas tikai un vienīgi – kā ūdenssaimniecības,  siltumapgādes vai valsts vai pašvaldības apmaksātu veselības aprūpes  sabiedrisko pakalpojumu sniedzējs, tad šādai ēkai atbalstu var piešķirt pilnā apmērā (100 procentus). Ja ēkā ir cita saimnieciskā darbība, tā ir nodalāma. Šajā gadījumā tiek izmantota pakalpojumu jaudas īpatsvara noteikšana vērtības izteiksmē. Piemēram, sabiedrisko pakalpojumu sniedzēja triju gadu vidējais gada apgrozījums ir 1 milj. </w:t>
      </w:r>
      <w:r w:rsidR="00000000" w:rsidRPr="00000000" w:rsidDel="00000000">
        <w:rPr>
          <w:i w:val="1"/>
          <w:rtl w:val="0"/>
        </w:rPr>
        <w:t xml:space="preserve">euro</w:t>
      </w:r>
      <w:r w:rsidR="00000000" w:rsidRPr="00000000" w:rsidDel="00000000">
        <w:rPr>
          <w:rtl w:val="0"/>
        </w:rPr>
        <w:t xml:space="preserve">, no kuriem 900 000 </w:t>
      </w:r>
      <w:r w:rsidR="00000000" w:rsidRPr="00000000" w:rsidDel="00000000">
        <w:rPr>
          <w:i w:val="1"/>
          <w:rtl w:val="0"/>
        </w:rPr>
        <w:t xml:space="preserve">euro</w:t>
      </w:r>
      <w:r w:rsidR="00000000" w:rsidRPr="00000000" w:rsidDel="00000000">
        <w:rPr>
          <w:rtl w:val="0"/>
        </w:rPr>
        <w:t xml:space="preserve"> ir bijuši sabiedriskie ūdenssaimniecības, siltumapgādes vai valsts vai pašvaldības apmaksāti veselības aprūpes pakalpojumi un 100 000 </w:t>
      </w:r>
      <w:r w:rsidR="00000000" w:rsidRPr="00000000" w:rsidDel="00000000">
        <w:rPr>
          <w:i w:val="1"/>
          <w:rtl w:val="0"/>
        </w:rPr>
        <w:t xml:space="preserve">euro</w:t>
      </w:r>
      <w:r w:rsidR="00000000" w:rsidRPr="00000000" w:rsidDel="00000000">
        <w:rPr>
          <w:rtl w:val="0"/>
        </w:rPr>
        <w:t xml:space="preserve"> ir bijusi cita saimnieciskā darbība. Tas nozīmē, ka konkrētā pakalpojumu sniedzēja sabiedrisko pakalpojumu īpatsvars ir 90 procenti. Tātad sabiedrisko pakalpojumu sniedzējs varēs pretendēt uz atbalstu 90 procentu apjomā no projekta attiecināmajām izmaksām. Cita saimnieciskā darbība var ietvert telpu iznomāšanu citiem komersantiem, piemēram, aptiekai, preses tirdzniecībai u.c. Veselības aprūpes sabiedrisko pakalpojumu sniedzējiem cita saimnieciskā darbība ietver arī maksas pakalpojumu sniegšanu atbilstoši cenrādim, un arī šādas komercdarbības ieņēmumu apjoms ņemams vērā pakalpojumu īpatsvara noteikšanas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pārkāpti Komercdarbības atbalsta saņemšanas nosacījumi, tad atbalsta saņēmējam ir pienākums atmaksāt sadarbības iestādei visu projekta ietvaros saņemto nelikumīgo komercdarbības atbalstu kopā ar procentiem saskaņā ar "Komercdarbības atbalsta kontroles likuma" IV vai V nodaļā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glabā projekta dokumentāciju un nodrošina tai pieejamību visu projekta dzīves ciklu. Projekta dzīves cikls uzsākas līdz ar lēmumu par projekta iesnieguma apstiprināšanu, bet noslēdzas piecus gadus pēc projekta noslēguma maksājuma veikšanas (atbilstoši Noteikumu projekta 39.12. apakšpunkta nosacījumam par ilgtspējas nodrošināšanu). Savukārt dokumentāciju, kas saistīta ar komercdarbības atbalstu sabiedrisko pakalpojumu sniedzējiem, atbalsta sniedzējs un vispārējas tautsaimnieciskas nozīmes pakalpojuma pilnvarojuma uzlicējs glabā 10 gadus no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jānodrošina panāktā enerģijas ietaupījuma uzturēšana ilgtermiņā, kur projekta iesniedzējs kopā ar projekta pieteikumu iesniedz plānotā enerģijas ietaupījuma ilgtermiņa uzturēšanas plānu (turpmāk - plāns), vai projekta iesniegumā sniedz informāciju par plāna izstrādāšanas laika grafiku un galvenajiem uzdevumiem, kas iekļaujami plānā, ja plāns uz pieteikuma sagatavošanas brīdi nav izstrādāts. Šādā gadījumā plānu iesniedz pirms vai vienlaikus ar noslēguma maksājuma pieprasījumu. Plānā jāietver uzstādāmo iekārtu, aprīkojuma un siltināšanas tehnoloģijas korektas ekspluatācijas nosacījumi un ēkas īpašnieka periodiski veicamās darbības, lai nodrošinātu iekārtu un tehnoloģiju ilgtspēju visā iekārtu vai tehnoloģiju dzīves ciklā. Projekta īstenošanas laikā netiek mainītas ierīkotās infrastruktūras elementu ēkā un tās pieguļošajā teritorijā īpašumtiesības. Plānu sagatavo, ievērojot būvniecību regulējošo normatīvo aktu prasības. Šāds nosacījums izvirzīts, lai nodrošinātu projekta ietvaros veikto pasākumu ilgtspēju, kā arī lai izpildītu ES fondu 2014. – 2020. gada plānošanas perioda Darbības programmas “Izaugsme un nodarbinātība” prioritārā virziena “Pāreja uz ekonomiku ar zemu oglekļa emisijas līmeni visās nozarēs” investīciju izvērtējuma stratēģiskā ieteikuma Nr. 5 izpildi, kur minētie stratēģiskie ieteikumi apstiprināti ES struktūrfondu un Kohēzijas fonda 2014. – 2020. gada plānošanas perioda Pārejas uz ekonomiku ar zemu oglekļa emisijas līmeni visās nozarēs prioritārā virziena apakškomitejas 2022. gada 30. jūnija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mērķa sasniegšanu pamato ar ēkas energosertifikātu pirms atjaunošanas vai pārbūves darbiem un pieņemot ēku ekspluatācijā sagatavoto pagaidu energosertifikātu. Energosertifikāti ietver sevī informāciju par pabeigtajiem atjaunošanas vai pārbūves darbiem un paredzamo enerģijas ietaupījumu. Ēkas energosertifikāta pielikumā ir norādīti priekšlikumi, kas veicami, lai uzlabotu ēkas energoefektivitāti. Savukārt, ēkas pagaidu energosertifikātā norāda enerģijas patēriņu, kāds būs ēkā pēc būvdarbu pabeigšanas, pieņemot ēku ekspluatācijā. Tādējādi projekta vērtēšanā kopējās primārās enerģijas samazinājumu nosaka pēc energosertifikātā norādītajiem datiem kā starpību pirms atjaunošanas vai pārbūves darbiem un paredzamo 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paredzēts nacionālais rādītājs "uzstādītā AER izmantojošo tehnoloģiju enerģijas papildu ražošanas jauda". Rādītāja vērtību summē no Pasākuma projektu iesniegumos norādītājām vērtībām un rādītāju uzskata par sasniegtu projektu noslēguma maksājuma veikšanas dienā. Lai nodrošinātu Direktīvas 2024/1275 10. panta prasību izpildi, kur saistības pienākuma izpildei iestāsies projektu pēcuzraudzības periodā, noteikumu projekts nosaka, ka ēkām, kuru kopējā platība pārsniedz 250 m</w:t>
      </w:r>
      <w:r w:rsidR="00000000" w:rsidRPr="00000000" w:rsidDel="00000000">
        <w:rPr>
          <w:vertAlign w:val="superscript"/>
          <w:rtl w:val="0"/>
        </w:rPr>
        <w:t xml:space="preserve">2</w:t>
      </w:r>
      <w:r w:rsidR="00000000" w:rsidRPr="00000000" w:rsidDel="00000000">
        <w:rPr>
          <w:rtl w:val="0"/>
        </w:rPr>
        <w:t xml:space="preserve">, tiek uzstādītas piemērotas saules enerģijas iekārtas, izņemot gadījumus, ja tādas jau ir uzstādītas, vai gadījumus, kas normatīvajos aktos noteikti kā izņēmumi vai atkāpes. Ņemot vērā, ka minētās direktīvas prasību pārņemšanas termiņš iestāsies 2026. gada 29. maijā, precīzas tehniskās prasības un atsauce uz attiecīgajiem normatīvajiem aktiem tiks noteikta Pasākuma projektu iesniegumu atlases nolikumā. Noteikumu projekta izstrādes brīdī Direktīvas 2024/1275 10. panta prasību pārņemšanai ierosināts tiesību aktu projekts (25-TA-1187) “Grozījumi Ministru kabineta 2021. gada 19. oktobra noteikumos Nr. 693 "Būvju vispārīgo prasību būvnormatīvs LBN 200-21" un tiesību aktu projekts (26-TA-329) “Grozījumi Ministru kabineta 2020. gada 10. decembra noteikumos Nr. 730 “Ekspluatējamu ēku energoefektivitātes minimālās prasības””. Ar projekta ietvaros uzstādāmās AER izmantojošo tehnoloģiju jaudu (neto maksimālo elektrisko jaudu), saprot Eurostat noteikto definīciju “maksimālo aktīvo jaudu, ko nepārtraukti, visu iekārtu darbinot, var piegādāt izejas vietā (t.i., pēc strāvas padeves paņemšanas stacijas palīgiekārtām) un pieļaujot zaudējumus tajos transformatoros, kurus uzskata par neatņemamiem no stacijas)”, piemēram, saules paneļu gadījumā tas ir mazākais parametrs no saules paneļu kopējās nominālās jaudas vai invertora nominālās vai invertora iestatītās jaudas 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pilnā apjomā netiks atbalstīta bezemisiju mobilitāte, tomēr, projektiem tiks izvirzīti nosacījumi, lai nodrošinātu Direktīvas 2024/1275 14.panta nosacījumu izpildi attiecībā uz uzlādes punktiem, kur attiecīgās prasības paredzēts pārņemt ar tiesību aktu projektu (25-TA-1187) “Grozījumi Ministru kabineta 2021. gada 19. oktobra noteikumos Nr. 693 "Būvju vispārīgo prasību būvnormatīvs LBN 200-21".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 notiek saskaņā ar sadarbības iestādes izstrādāto projektu iesniegumu atlases nolikumu un Finanšu ministrijas izstrādāto Eiropas Reģionālās attīstības fonda, Eiropas Sociālā fonda plus, Kohēzijas fonda un Taisnīgas pārkārtošanās fonda projektu iesniegumu atlases metodiku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saskaņā ar civiltiesisko līgumu vai vienošanās par projekta īstenošanu ir tiesības projekta īstenošanas un pēcuzraudzības laikā pārbaudīt vienošanās vai līgumā par projekta īstenošanu sniegto informāciju, veicot pārbaudi projekta īstenošanas vietā atbilstoši ES fondu projektu pārbaužu veikšanas kārtībai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Pēcuzraudzības periodā sadarbības iestādei ir tiesības pēc pieprasījuma saņemt no finansējuma saņēmēja uzkrātos datus un tos pamatojošos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pieejamais finansējums atlases kārtas ietvaros netiek pilnībā izmantots sadarbības iestāde un VARAM vienojas par jauna uzsaukuma organizēšanas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izvērtējot ēkā papildinošās saimnieciskās darbības un parasto papildpakalpojumu sniegšanu, izmanto VARAM sagatavoto un sadarbības iestādes saskaņoto metodiku par papildinošās saimnieciskās darbības un parasto papildpakalpojumu nosacījumu kontroli. Lai nodrošinātu, ka projektu iesniedzējiem pirms projektu iesniegumu iesniegšanas būtu pieejama skaidra informācija par to, kāda darbība var tikt klasificēta kā papildinošā saimnieciskā darbība un parastais papildpakalpojums, un kā tiks veikta to uzskaite, VARAM papildinošas saimnieciskas darbības un parasto papildpakalpojumu uzraudzības un kontroles metodiskos norādījumus izstrādās pirms projektu iesniegumu atlases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infrastruktūras primāri nesaimnieciskā rakstura saglabāšanu un novērstu interpretācijas risku par iespējamu neierobežotu saimnieciskās darbības paplašināšanu, MK noteikumu projektā paredzētais finansēšanas 20 % slieksnis tiek attiecināts uz papildinošās saimnieciskās darbības un parasto papildpakalpojumu kopējo apjomu. Šāds nosacījums atbilst DG COMP 2022. gada 25. jūlijā sniegtajai atbildei uz Latvijas Republikas 2022. gada 18. janvāra jautājumu [2], kurā DG COMP norāda, ka atbilstoši Paziņojuma 207. punktam infrastruktūrai jāsaglabā tās nesaimnieciskais raksturs, vērtējot kopējo saimnieciskās darbības apjomu attiecībā pret nesaimniecisko infrastruktūras lietojumu (platības, finanšu vai laika izteiksmē atbilstoši papildinošas saimnieciskas darbības un parasto papildpakalpojumu uzraudzības un kontroles metodiskajiem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tika vērtēta vienkāršoto izmaksu piemērošana, taču noteikumu projekts neparedz vienkāršoto izmaksu piemērošanu attiecināmo izmaksu pozīcijām un paredz nosacījumu, ka vienam projektam minimāli nepieciešamais ERAF finansējums ir 200 000 </w:t>
      </w:r>
      <w:r w:rsidR="00000000" w:rsidRPr="00000000" w:rsidDel="00000000">
        <w:rPr>
          <w:i w:val="1"/>
          <w:rtl w:val="0"/>
        </w:rPr>
        <w:t xml:space="preserve">euro</w:t>
      </w:r>
      <w:r w:rsidR="00000000" w:rsidRPr="00000000" w:rsidDel="00000000">
        <w:rPr>
          <w:rtl w:val="0"/>
        </w:rPr>
        <w:t xml:space="preserve">, (maksimālais ERAF finansējums ir 2 500 000 </w:t>
      </w:r>
      <w:r w:rsidR="00000000" w:rsidRPr="00000000" w:rsidDel="00000000">
        <w:rPr>
          <w:i w:val="1"/>
          <w:rtl w:val="0"/>
        </w:rPr>
        <w:t xml:space="preserve">euro</w:t>
      </w:r>
      <w:r w:rsidR="00000000" w:rsidRPr="00000000" w:rsidDel="00000000">
        <w:rPr>
          <w:rtl w:val="0"/>
        </w:rPr>
        <w:t xml:space="preserve">). Vienkāršoto izmaksu iespējas netiek piemērotas, jo iepriekšējo periodu faktiskie izdevumi, kas attiecināmi uz līdzvērtīgu aktivitāšu īstenošanu nav salīdzināmi un nevar nodrošināt to atbilstību tirgus situācijai, nepieciešamajam kvalitātes līmenim un projekta mērķu sasniegšanai saskaņā ar jaunajām Direktīvas 2023/1791 6. panta prasību īstenošanai nepieciešamām izmaksām ēku atjaunošanai un pārbūvei līdz gandrīz nulles enerģijas ēkas vai bezemisiju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minētie secinājumi ir atbilst Finanšu ministrijas izvērtējumā “Vienkāršoto izmaksu piemērošanas iespējas 2021.-2027. gada ES fondu plānošanas periodā”” secinātajam, kur pasākuma 2.1.1.6. ietvaros netiek paredzēta augsta iespēja vienkāršoto izmaksu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plānotās darbības nepārklājas ar darbībām, kas paredzētas darbības programmas "Izaugsme un nodarbinātība" specifisko atbalsta mērķu vai citu ārvalstu finanšu palīdzības instrumentu aktivitāšu ietvaros, citu atbalsta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kultūras mērķu infrastruktūrā ieņēmumi no saimnieciskās darbības nevar pārsniegt 50 procentus no kultūras jomas pakalpojumu sniedzēja gada budžeta (ieņēmumu daļas) konkrētajā infrastruktūrā (attiecināms, ja atbalsta pretendents plāno lūgt atbalstu saimnieciski neizmantojamai kultūras infrastruktūrai). Nav identificēti riski, ka pēc ES fondu ieguldījumu veikšanas attiecīgais kultūras infrastruktūras objekts nespēs nodrošināt pašpietiekamību un nebūs spējīgs nodrošināt funkcionēšanu bez papildus ES fondu publiskā atbalsta saņemšanas, t.sk. nodrošināt tā darbību atbilstoši noteiktajām funkcijām un nodrošināt atbilstošu infrastruktūras uzturēšanu, jo pašvaldības kultūras nami katru gadu saņem dotācijas finansējumu no pašvaldības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2018. gada 30. maija Direktīvā 2018/851/ES, </w:t>
      </w:r>
      <w:r w:rsidR="00000000" w:rsidRPr="00000000" w:rsidDel="00000000">
        <w:rPr>
          <w:i w:val="1"/>
          <w:rtl w:val="0"/>
        </w:rPr>
        <w:t xml:space="preserve">ar ko groza Direktīvu 2008/98 par atkritumiem </w:t>
      </w:r>
      <w:r w:rsidR="00000000" w:rsidRPr="00000000" w:rsidDel="00000000">
        <w:rPr>
          <w:rtl w:val="0"/>
        </w:rPr>
        <w:t xml:space="preserve">noteiktos mērķus, projektu iesniedzējiem kopā ar projekta iesniegumu nepieciešams iesniegt apliecinājumus par to, ka tiks ievērotas MK 2021. gada 26. oktobra noteikumos Nr. 712 “Atkritumu dalītas savākšanas, sagatavošanas atkārtotai izmantošanai, pārstrādes un materiālu reģenerācijas noteikumi” 6. punktā un MK 2017. gada 20. jūnija noteikumu Nr. 353 “Prasības zaļajam publiskajam iepirkumam un to piemērošanas kārtība” 2. pielikumā noteiktās prasības, tostarp, ka nebīstamos būvgružus un ēku nojaukšanas atkritumus, kas būvlaukumā radušies būvniecības laikā, saskaņā ar atkritumu apsaimniekošanas hierarhiju atkārtoti izmanto būvniecības objektā uz vietas (tostarp aizbēršanas darbībām, kurās atkritumus izmanto citu materiālu aizstāšanai) vai tos nodos sagatavošanai atkārtotai izmantošanai, pārstrādei vai reģenerācijai uzņēmumiem, kas saņēmuši atbilstošas piesārņojošās darbības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tiek plānots nojaukt ēkas, kurās ir azbestu saturoši materiāli, azbestu saturošie izstrādājumi tiks apstrādāti un transportēti atbilstoši normatīvajiem aktiem par darba aizsardzības prasībām darbā ar azbestu, tajā skaitā nepieļaujot azbesta šķiedru vai putekļu nokļūšanu vidē. Prasība ir pārņemta nacionālajos normatīvajos aktos, uzraudzību saskaņā MK  2011. gada 19. aprīļa noteikumos Nr. 301 "Noteikumi par azbesta un azbesta izstrādājumu ražošanas radīto vides piesārņojumu un azbesta atkritumu apsaimniekošanu" un saskaņā ar MK 2004. gada 12. oktobra noteikumos Nr. 852 "Darba aizsardzības prasības darbā ar azbestu" noteikto veic Valsts vides dienests un 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 atbildīga publiskā iepirkuma nosacījumu piemērošana jāveic saskaņā ar Iepirkumu uzraudzības biroja sagatavoto informāciju par Sociāli atbildīgu publisko iepirkumu, kā arī Latvijas Sociālās uzņēmējdarbības asociācijas izstrādātajām “Vadlīnijām sociāli atbildīga publiskā iepirkuma īstenošanai”, ievērojot godīgas konkurences principu, nodrošinot konsultēšanos ar tirgus dalībniekiem caurskatāmā un atklātā veidā, — balstoties uz objektīviem un nediskriminējošiem kritērijiem. Sociāli atbildīga publiskā iepirkuma galvenie mērķi ir vairot nodarbinātības iespējas, nodrošinot pienācīgas kvalitātes nodarbinātību, sociālo iekļaušanu, sabiedrisku pakalpojumu un ēku piekļūstamību, plašam lietotāju lokam paredzētu pakalpojumu un produktu izstrādi, ētisku tirdzniecību, kā arī paplašināt sociālo standartu ievērošanu. Finansējuma saņēmējs var veikt arī inovatīvu iepirkumu.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projekta īstenošanas laikā nodrošina interešu konflikta neesību atbilstoši normatīvajiem aktiem publisko iepirkumu jomā, kā arī paraksta interešu konflikta neesības apliecinājumu Kohēzijas politikas fondu vadības informācijas sistēmā, iesniedzot projekta iesniegumu.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un vizuālās identitātes pasākumi tiks nodrošināti gan saskaņā ar Eiropas Parlamenta un Padomes 2021. gada 24. jūnija Regulas Nr. 2021/1060,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(turpmāk – Regula Nr. 2021/1060) 47. pantu un 50. pantu un normatīvajiem aktiem, kas nosaka kārtību, kādā ES fondu vadībā iesaistītās institūcijas nodrošina šo fondu ieviešanu 2021. – 2027. gada plānošanas periodā, gan arī tiks ievērotas ES fondu 2021. – 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sadarbības iestāde var piešķirt finansējuma saņēmējam avansu līdz 50 procentiem no projektam piešķirtā ERAF finansējuma pēc civiltiesiskā līguma vai vienošanās par projekta īstenošanu noslēgšanas, ievērojot, ka avansu var izmaksāt vairākos maksājumos un avansa un starpposma maksājumu kopsumma nepārsniedz 90 procentus no projektam piešķirtā ERAF finansējuma. Šāds piešķiramā avansa apmērs noteikts kā optimālākais variants, kas nepieciešams projektu īstenošanai, lai tiktu nodrošināta naudas plūsma projektā iekļauto darbību ieviešanai, kā arī ņemot vērā, ka nepieciešams veicināt investīciju nonākšanu tautsaimniecībā un nodrošināt n+3 principa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Avanss finansējuma saņēmējam tiks izmaksāts tikai tad, ja norādītajā termiņā ir iespējams to apgūt, atbilstoši sadarbības iestādes noteiktajām iekšējās kārtības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2021. gada 27. septembra paskaidrojuma rakstam par principa “Nenodarīt būtisku kaitējumu” piemērošanu kohēzijas politikā  Pasākumam ir tieša pozitīva ietekme uz horizontālo principu “Nenodarīt būtisku kaitējumu” ietekme, kā arī noteikumu projektam un tā nosacījumiem nav konstatējamas negatīvas ietekmes uz šādiem vides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pielāgošanas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aprites ekonomika, tostarp atkritumu rašanās novēršana un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to kontrole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kārtas ietvaros plānotās darbības neizraisīs negatīvu ietekmi un būtisku SEG emisiju pieaugumu uz pašreizējā klimata un gaidāmā nākotnes klimata radītajām negatīvajām ietekmēm uz pašu pasākumu, cilvēkiem, dabu vai aktīviem (tai skaitā infrastruktūru), kā arī neradīs negatīvu ietekmi uz pielāgošanās klimata pārmaiņām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kohēzijas politikas programmai 2021.–2027.gadam noteikumu projektā iekļautajām investīcijām piemēroti šādi intervences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intervences kods Nr. 045 "energoefektivitātes renovācija vai energoefektivitātes pasākumi attiecībā uz publisko infrastruktūru, demonstrējumu projektiem un atbalsta pasākumiem, kas atbilst energoefektivitātes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intervences kods Nr. 01 "dotācija";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intervences kods Nr. 33 "bez teritoriālā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demarkācija ar īstenoto 2.1.1.6. pasākuma pirmās atlases kārtas investīciju un 1.2.1.3.i. investīciju, kur minēto investīciju atbalsts paredzēts energoefektivitātes uzlabošanas pasākumiem pašvaldību ēkās, tai skaitā atbalstot AER tehnoloģijas un virzību uz bezemisiju tehnoloģiju uzstādīšanu. Savstarpējā investīciju demarkācija nodrošināta ar investīciju ieviešanas laika grafiku. Tāpat jānodrošina demarkācija ar esošajām un plānotajām Emisijas kvotu izsolīšanas instrumenta investīcijām "Siltumnīcefekta gāzu emisiju samazināšana Iekšlietu ministrijas sistēmas iestāžu un pašvaldību policijas institūciju ēkās" [3] attiecībā uz pašvaldību sektora ēkām, Modernizācijas fonda investīcijām "Atjaunīgo energoresursu izmantošanas veicināšana daudzdzīvokļu ēkās, valsts un pašvaldību ēkās un energokopienās" [4] attiecībā uz pašvaldību sektora AER risinājumiem, ES kohēzijas politikas programmas 2021. – 2027. gadam 5.2. Prioritātes “Civilās aizsardzības stiprināšana” (ReArm speciālā prioritāte) 5.2.1. specifisko atbalsta mērķi "Civilās sagatavotības nodrošināšana visu veidu teritorijās", 5.2.1.1. pasākums "Objektu (patvertņu) pielāgošana un aprīkošana civilās aizsardzības mērķiem" [5] investīcijām attiecībā uz III kategorijas patvertņu ierīkošanu, ES kohēzijas politikas programmas 2021. – 2027. gadam 2.1.3. specifiskā atbalsta mērķa “Veicināt pielāgošanos klimata pārmaiņām, risku novēršanu un noturību pret katastrofām” 2.1.3.1. pasākuma “Pašvaldību pielāgošanās klimata pārmaiņām” [6] investīcijām attiecībā uz pasākumiem ēku funkcionālajā teritorijā, Sociālā klimata fonda 2026.- 2032. gadam investīciju “Energoefektivitātes pasākumi ēkās, kas nodrošina pašvaldību sociālos mājokļus, īres mājokļus un pakalpojumus ar izmitināšanu” (turpmāk – SKF investīcija). SKF investīcijas ietvaros apstiprināto projektu īstenošana indikatīvi tiks uzsākta 2028. gada IV ceturksnī un tajā tiks atbalstītas ēkas kurās nodrošina pašvaldību sociālos pakalpojumus mazaizsargātām mājsaimniecībām ar izmitināšanu, (piemēram, krīzes centrs, grupu māja (dzīvoklis), u. tml.),  izmitināšanu sociālajos mājokļos (piemēram, sociālā dzīvojamā māja, dažādu sociālo grupu kopdzīvojamās mājas u. tml.), un pilnā apmērā pašvaldības īpašumā esošo īres ēku renovācija. Pasākums nefinansē jaunu institucionālās aprūpes vietu izveidi vai esošās institucionālās aprūpes kapacitātes palielināšanu un, lai novērstu neatbilstīgu ieguldījumu risku un nebūtu pretrunā ar deinstitucionalizācijas politiku [7], Pasākumā netiek paredzēts atbalsts ēkās, kurās tiek sniegti ilgstošas sociālās aprūpes un sociālās rehabilitācijas pakalpojumi, kas reģistrētas publiski pieejamā Labklājības ministrijas sociālo pakalpojumu sniedzēju reģistrā [8] sniedzot sociālo pakalpojumu – “01 ilgstoša sociālā aprūpe un sociālā rehabilitācija”. Ieguldījumi ilgstošas sociālās aprūpes un sociālās rehabilitācijas pakalpojumu ēkās netiek atbalstīti atbilstoši Regulas Nr. 2021/1060 6. apsvērumā minētajam, atbilstoši Regulas Nr. 2021/1060 IV pielikuma Veicinošā nosacījuma Nr.4.4. 3. izpildes kritērijam un Veicinošā nosacījuma Nr. 4.6. 3. izpildes kritērijam, kā arī ievērojot Komisijas 2024. gada 29. novembra paziņojumu Nr. C/2024/7897 par norādījumiem par personu ar invaliditāti neatkarīgu dzīvi un iekļaušanu sabiedrībā ES finansējuma kontekstā, ka nepieciešams nodrošināt  pakāpenisku esošās ilgstošās sociālās aprūpes institūciju un pakalpojumu izbeigšanu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demarkācija jānodrošina arī ar Ekonomikas ministrijas administrētajām investīcijām ES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pasākumu "Sociālo mājokļu atjaunošana vai jaunu sociālo mājokļu būvniecība" [10], kur demarkācija ar Pasākuma atlasi paredzēta ar atlašu īstenošanas laika brīdi, kā arī, tiks pārbaudīts, vai energoefektivitātes darbi nav veikti iepriekš minētās Ekonomikas ministrijas atbalsta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netiek sniegts atbalsts darbībām ēkās, kurās tiek sniegti ilgstošas sociālās aprūpes un sociālās rehabilitācijas pakalpojumi Sociālo pakalpojumu un sociālās palīdzības likuma izpratnē. Pasākuma ietvaros paredzēts, ka atbalstu var sniegt pašvaldības īpašumā esošām dzīvojamajām mājām, kurās tiek sniegti likuma "Par palīdzību dzīvokļa jautājumu risināšanā" 3. panta 1. un 2. punktā noteiktie palīdzības veidi, izīrējot pašvaldības īpašumā esošās dzīvojamās telpas, vienlaikus tiek izvirzīti papildu nosacījumi, lai atbalsts netiktu kvalificēts kā komercdarbības atbalsts. Tādējādi noteikumu projekts paredz, ka atbalsts darbību veikšanai pašvaldības īpašumā esošās dzīvojamajās mājās netiek sniegts dzīvojamo telpu izīrēšanai: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palīdzību dzīvokļa jautājumu risināšanā" III</w:t>
      </w:r>
      <w:r w:rsidR="00000000" w:rsidRPr="00000000" w:rsidDel="00000000">
        <w:rPr>
          <w:vertAlign w:val="superscript"/>
          <w:rtl w:val="0"/>
        </w:rPr>
        <w:t xml:space="preserve">1</w:t>
      </w:r>
      <w:r w:rsidR="00000000" w:rsidRPr="00000000" w:rsidDel="00000000">
        <w:rPr>
          <w:rtl w:val="0"/>
        </w:rPr>
        <w:t xml:space="preserve"> nodaļā minētās palīdzības sniegšanai – izīrēšanai 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palīdzību dzīvokļa jautājumu risināšanā" 15. pantā minētajām citām personu kategorijām - izīrēšanai personām, kur atbalsts finansējuma saņēmējam kvalificējams kā komercdarbības atbalsts. Pašvaldību saistošos noteikumos par pašvaldības palīdzību dzīvokļa jautājumu risināšanā palīdzības sniegšana citām personu kategorijām vispārīgā kārtībā tiek plaši piemērota un dažādi interpretēta. Pasākuma ietvaros atbalsts dzīvojamai mājai kvalificējams kā komercdarbības atbalsts vispārīgajā kārtībā sniegtajai palīdzībai dzīvojamo telpu izīrēšanai (pie nosacījuma, ja tālāk uzskaitītās personas kvalificējas palīdzības saņemšanai tikai pēc zemāk uzskaitītajām pazīmēm) vismaz, bet ne tikai,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dzīvojamo telpu izīrēšana maksātspējīgām pašvaldības, to iestāžu un kapitālsabiedrību nodarbinātām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dzīvojamo telpu izīrēšana maksātspējīgām pašvaldības administratīvajā teritorijā deklarētajām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dzīvojamo telpu izīrēšana personām, kuras nav minētas likumā "Par palīdzību dzīvokļa jautājumu risināšanā", bet kuras iesniegušas iesniegumu par nodrošināšanu ar dzīvojamo telpu;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dzīvojamo telpu izīrēšana maksātspējīgām personām, kurām ir pastāvīgas (beidzies pārbaudes laiks)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dzīvojamo telpu izīrēšana maksātspējīgām vecuma pensiju sasniegušām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dzīvojamo telpu izīrēšana citām personām, ja no likumā "Par palīdzību dzīvokļa jautājumu risināšanā" minētajām personām nav pieprasījuma dzīvojamo telpu izīrēšanai;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dzīvojamo telpu izīrēšana personām, kuras izteikušas vēlmi īrēt dzīvojamo telpu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citos gadījumos, kad pašvaldības saistošajos noteikumos ir paredzēts sniegt palīdzību dzīvojamo telpu izīrēšanai citām personām, kuras nav minētas likuma 13. un 14.pantā, bet kurām tiek sniegta palīdzība, neievērojot likuma 13. un 14. pantā paredzētās palīdzības sniegšanai piekritīgo iedzīvotāju grupu raksturojošās pazīmes, noteikumu projekta ietvaros atbalsta sniegšana darbībām šādās dzīvojamās mājās, kvalificējama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uz pašvaldības īpašumā esošām dzīvojamajām mājām attiecas līdzvērtīgi nosacījumi kā  pašvaldības nedzīvojamām (pārvaldes funkciju un  uzdevumu īstenošanas) ēkām, kurās netiek veikta saimnieciskā darbība, taču ir pieļaujama papildinoša saimnieciskā darbība (turpmāk – PSD) un parastie papildpakalpojumi (turpmāk – PP), kuru īpatsvars nevar pārsniegt 20% no ēkas kopējās gada jaudas, izņemot vienu papildu nosacījumu. Gadījumā, ja ēkā tiek sniegti ilgstošas sociālās aprūpes un sociālās rehabilitācijas pakalpojumi, kas minēti noteikumu projekta 27. punkta 1. teikumā, un tiek veikta cita saimnieciskā darbība, tajā skaitā tiek sniegta palīdzība dzīvokļa jautājuma risināšanā atbilstoši likuma 15. pantam citām personām, kuras nav minētas likuma 13. un 14.pantā, bet kurām tiek sniegta palīdzība, neievērojot likuma 13. un 14. pantā paredzētās palīdzības sniegšanai piekritīgo iedzīvotāju grupu raksturojošās pazīmes, tad šo darbību, PSD un PP kopējais īpatsvars nevar pārsniegt 20% no ēkas kopējās gada jaudas. Savukārt attiecināmās izmaksas tiek samazinātas atbilstoši ilgstošas sociālās aprūpes un sociālās rehabilitācijas pakalpojumu un citas saimnieciskās darbības īpatsvaram ēkas kopējā gada jaudā.  Īpaša uzmanība jāpievērš  šo  noteikumu 27. punktā paredzētajam ierobežojumam, proti, ja dzīvojamās mājas dzīvojamās telpas tiek izīrētas arī likuma "Par palīdzību dzīvokļa jautājumu risināšanā" 15. pantā minētajām citām personu kategorijām un likuma "Par palīdzību dzīvokļa jautājumu risināšanā" III</w:t>
      </w:r>
      <w:r w:rsidR="00000000" w:rsidRPr="00000000" w:rsidDel="00000000">
        <w:rPr>
          <w:vertAlign w:val="superscript"/>
          <w:rtl w:val="0"/>
        </w:rPr>
        <w:t xml:space="preserve">1</w:t>
      </w:r>
      <w:r w:rsidR="00000000" w:rsidRPr="00000000" w:rsidDel="00000000">
        <w:rPr>
          <w:rtl w:val="0"/>
        </w:rPr>
        <w:t xml:space="preserve"> nodaļā minētās palīdzības sniegšanai, tad atbalsts darbībām šādās ēkas telpās kvalificējams kā komercdarbības atbalsts. Vienlaikus, ja atsevišķās ēkas telpās tiek sniegti ilgstošas sociālās aprūpes un sociālās rehabilitācijas pakalpojumi, tad projekta iesniegumam pievieno pielikumu, kurā norāda izīrēto dzīvokļu procentuālo sadalījumu pa personu kategorijām. Metodiskie norādījumi aprēķina veikšanai un ziņošanai tiks iestrādāti  atbildīgās iestādes izstrādātajos metodiskajos norādījumos par parasto papildpakalpojumu un papildinošas saimnieciskās darbības kontroli un uzraudzību. Atbilstoši likuma "Par palīdzību dzīvokļa jautājumu risināšanā" 21.</w:t>
      </w:r>
      <w:r w:rsidR="00000000" w:rsidRPr="00000000" w:rsidDel="00000000">
        <w:rPr>
          <w:vertAlign w:val="superscript"/>
          <w:rtl w:val="0"/>
        </w:rPr>
        <w:t xml:space="preserve">5</w:t>
      </w:r>
      <w:r w:rsidR="00000000" w:rsidRPr="00000000" w:rsidDel="00000000">
        <w:rPr>
          <w:rtl w:val="0"/>
        </w:rPr>
        <w:t xml:space="preserve"> panta otrajā daļā minētajam sociālajā dzīvojamajā mājā var tikt īstenoti citi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un vadības gaitā tiks nodrošināta informācijas un vides pieejamība, kā arī nediskriminējoša pieeja, ievērojot vienlīdzīgu iespēju principus neatkarīgi no dzimuma, vecuma, etniskās piederības vai citām pazīmēm. Publicitātes pasākumos tiks izmantota iekļaujoša valoda un vizuālie risinājumi, kas mazinās stereotipus un diskrimināciju pret jebkuru sabiedrības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mērķī un noteikumu projektā atsevišķi ārpus termina “energoefektivitātes uzlabošana” izcelta ēkas siltumnoturība, lai piešķirtu skaidrāku raksturojumu pasākuma tvērumam un jau mērķī netieši ietvertu, ka pasākuma ietvaros ir jāsasniedz kopējās primārās enerģijas ietaupījums vismaz 30 % apmērā, tai skaitā iekļaujot siltumnoturības uzlabošanas pasākumus, pamatojoties uz Regulas Nr. 2021/1060 1. pielikumā pasākumam piemēroto intervences koda kategoriju Nr. 045.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https://webgate.ec.europa.eu/fpfis/wikis/x/gga1Pg[3] (25-TA-1802) 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(24-TA-2826) 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2025. gada 27. maija noteikumi Nr.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(25-TA-2179)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https://www.lm.gov.lv/lv/sabiedriba-balstiti-socialie-pakalpojumi-un-deinstitucionalizacija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https://vspmis.lm.gov.lv/Public/PublicetsPakalpojums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https://eur-lex.europa.eu/eli/C/2024/7188/oj/eng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https://www.em.gov.lv/lv/sam-4313-pasakums-socialo-majoklu-atjaunosana-vai-jaunu-socialo-majoklu-buvnieciba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kapitālsabiedrības, kā arī publiski privātas kapitālsabiedrības, kas ir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pašvaldības, kuru īpašumā esošajās ēkās tiks sniegts enerģijas ietaupījums, ietaupīs pašvaldību budžeta līdzekļus turpmākai uzturēšanai un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pildīs atbildīgās iestādes funkcijas.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būvniecības nozarē, jo tiek veicināta ekonomikas attīstība un investīciju nonākšana būvniecībā projektu īstenošanas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maziem un vidējiem uzņēmumiem, jo tiks izmantoti to pakalpojumi projektēšanā, AER izmantojošu enerģiju ražojošu iekārtu, tai skaitā siltumsūkņu (gaiss, ūdens, zeme), saules kolektoru, saules paneļu, cietās biomasas kurināmā siltumenerģijas ražošanas iekārtu, iegādē un uzstādīšanā.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tautsaimniecību, jo tiek veicināta ekonomikas attīstība, tiek veicināta nodarbinātība būvniecībā, pakalpojumu sektorā saistībā ar dažādu iekārtu uzstādīšanu, energosertifkāciju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3 888 463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3 888 463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4 377 419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3 888 463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3 888 463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4 377 419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4 574 663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4 574 663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5 149 903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3 888 463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3 888 463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4 377 419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772 484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-772 484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-772 484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-772 484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-772 484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trešās atlases kārtas īstenošanai plānotais un pieejamais ERAF finansējums ir 16 498 347 </w:t>
            </w:r>
            <w:r w:rsidR="00000000" w:rsidRPr="00000000" w:rsidDel="00000000">
              <w:rPr>
                <w:sz w:val="24"/>
                <w:i w:val="1"/>
                <w:rtl w:val="0"/>
              </w:rPr>
              <w:t xml:space="preserve">euro</w:t>
            </w:r>
            <w:r w:rsidR="00000000" w:rsidRPr="00000000" w:rsidDel="00000000">
              <w:rPr>
                <w:sz w:val="24"/>
                <w:rtl w:val="0"/>
              </w:rPr>
              <w:t xml:space="preserve">, bet nacionālā līdzfinansējuma apmērs, ko veido pašvaldību un privātais finansējums – ne mazāks kā 2911 473 </w:t>
            </w:r>
            <w:r w:rsidR="00000000" w:rsidRPr="00000000" w:rsidDel="00000000">
              <w:rPr>
                <w:sz w:val="24"/>
                <w:i w:val="1"/>
                <w:rtl w:val="0"/>
              </w:rPr>
              <w:t xml:space="preserve">euro</w:t>
            </w:r>
            <w:r w:rsidR="00000000" w:rsidRPr="00000000" w:rsidDel="00000000">
              <w:rPr>
                <w:sz w:val="24"/>
                <w:rtl w:val="0"/>
              </w:rPr>
              <w:t xml:space="preserve">. Finansējuma saņēmējs projektu īsteno saskaņā ar līgumu par projekta īstenošanu,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valsts budžets kārtējam gadam un vidēja termiņa budžeta finansējums norādīts saskaņā ar CFLA aktualizētajām budžeta izdevuma prognozēm ES fondu 2021. - 2027. gada plānošanas periodā (indikatīvi), proporcionāli rēķinot pret pasākuma trešajā atlases kārtā pieejamo ERAF finansējumu un pašvaldību un privātais finansējumu. Kopējo izdevumu summu veido plānotais kopējais projektu attiecināmo izmaksu finansējums, tai skaitā nepieciešamais ERAF finansējums 85 procentu apmērā un nacionālais līdzfinansējums, ko veido pašvaldību un privātais finansējums 15 procentu apmērā: 16 498 347 + 2 911 473 = 19 409 820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0 </w:t>
            </w:r>
            <w:r w:rsidR="00000000" w:rsidRPr="00000000" w:rsidDel="00000000">
              <w:rPr>
                <w:sz w:val="24"/>
                <w:i w:val="1"/>
                <w:rtl w:val="0"/>
              </w:rPr>
              <w:t xml:space="preserve">euro</w:t>
            </w:r>
            <w:r w:rsidR="00000000" w:rsidRPr="00000000" w:rsidDel="00000000">
              <w:rPr>
                <w:sz w:val="24"/>
                <w:rtl w:val="0"/>
              </w:rPr>
              <w:t xml:space="preserve">, ņemot vērā, ka projektu iesniegumu atlase paredzēta 2026. gada III ceturksnī, sagatavošanas, iesniegšanas, vērtēšanas un līguma par projekta īstenošanu noslēgšanas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0 </w:t>
            </w:r>
            <w:r w:rsidR="00000000" w:rsidRPr="00000000" w:rsidDel="00000000">
              <w:rPr>
                <w:sz w:val="24"/>
                <w:i w:val="1"/>
                <w:rtl w:val="0"/>
              </w:rPr>
              <w:t xml:space="preserve">euro</w:t>
            </w:r>
            <w:r w:rsidR="00000000" w:rsidRPr="00000000" w:rsidDel="00000000">
              <w:rPr>
                <w:sz w:val="24"/>
                <w:rtl w:val="0"/>
              </w:rPr>
              <w:t xml:space="preserve">, ņemot vērā, ka projektu iesniegumu atlase paredzēta 2026. gada III ceturksnī, sagatavošanas, iesniegšanas, vērtēšanas un līguma par projekta īstenošanu noslēgšanas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4 574 663 </w:t>
            </w:r>
            <w:r w:rsidR="00000000" w:rsidRPr="00000000" w:rsidDel="00000000">
              <w:rPr>
                <w:sz w:val="24"/>
                <w:i w:val="1"/>
                <w:rtl w:val="0"/>
              </w:rPr>
              <w:t xml:space="preserve">euro</w:t>
            </w:r>
            <w:r w:rsidR="00000000" w:rsidRPr="00000000" w:rsidDel="00000000">
              <w:rPr>
                <w:sz w:val="24"/>
                <w:rtl w:val="0"/>
              </w:rPr>
              <w:t xml:space="preserve">, no kuriem ERAF finansējums sastāda 3 888 463 </w:t>
            </w:r>
            <w:r w:rsidR="00000000" w:rsidRPr="00000000" w:rsidDel="00000000">
              <w:rPr>
                <w:sz w:val="24"/>
                <w:i w:val="1"/>
                <w:rtl w:val="0"/>
              </w:rPr>
              <w:t xml:space="preserve">euro</w:t>
            </w:r>
            <w:r w:rsidR="00000000" w:rsidRPr="00000000" w:rsidDel="00000000">
              <w:rPr>
                <w:sz w:val="24"/>
                <w:rtl w:val="0"/>
              </w:rPr>
              <w:t xml:space="preserve">, bet pašvaldību un privātais finansējumu sastāda 686 200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4 574 663 </w:t>
            </w:r>
            <w:r w:rsidR="00000000" w:rsidRPr="00000000" w:rsidDel="00000000">
              <w:rPr>
                <w:sz w:val="24"/>
                <w:i w:val="1"/>
                <w:rtl w:val="0"/>
              </w:rPr>
              <w:t xml:space="preserve">euro</w:t>
            </w:r>
            <w:r w:rsidR="00000000" w:rsidRPr="00000000" w:rsidDel="00000000">
              <w:rPr>
                <w:sz w:val="24"/>
                <w:rtl w:val="0"/>
              </w:rPr>
              <w:t xml:space="preserve">, no kuriem ERAF finansējums sastāda 3 888 463 </w:t>
            </w:r>
            <w:r w:rsidR="00000000" w:rsidRPr="00000000" w:rsidDel="00000000">
              <w:rPr>
                <w:sz w:val="24"/>
                <w:i w:val="1"/>
                <w:rtl w:val="0"/>
              </w:rPr>
              <w:t xml:space="preserve">euro</w:t>
            </w:r>
            <w:r w:rsidR="00000000" w:rsidRPr="00000000" w:rsidDel="00000000">
              <w:rPr>
                <w:sz w:val="24"/>
                <w:rtl w:val="0"/>
              </w:rPr>
              <w:t xml:space="preserve">, bet pašvaldību un privātais finansējumu sastāda 686 200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5 149 903 euro, no kuriem ERAF finansējums sastāda 4 377 419  euro, bet pašvaldību un privātais finansējumu sastāda 772 484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5 110 591 euro, no kuriem ERAF finansējums sastāda 4 344 002 euro, bet pašvaldību un privātais finansējumu sastāda 766 589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šāda intervences koda: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045 - Energoefektivitātes renovācija vai energoefektivitātes pasākumi attiecībā uz publisko infrastruktūru, demonstrējumu projektiem un atbalsta pasākumiem, kas atbilst energoefektivitātes kritērijiem (ja pasākuma mērķis ir vidēji sasniegt (a) vismaz vidēja līmeņa renovāciju, kā definēts Komisijas Ieteikumā (ES) 2019/786, vai (b) vismaz 30 procenti tiešo un netiešo siltumnīcefekta gāzu emisiju samazinājumu salīdzinājumā ar ex-ante emisijām. Ēku renovācija ietver arī infrastruktūru 120.–127. intervences jomas izpratnē.).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projektu īstenošanai attiecībā uz ERAF līdzfinansējuma nodrošināšanu tiks pieprasīts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īstenošanas finansējums infrastruktūras uzturēšanai finansējuma saņēmējam būs jāsedz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var paredzēt neparedzētos izdevumus projekta īstenošanas laikā, kas ir attiecināmi līdz 5 procentu apmērā no projekta kopējām plānotajām attiecināmajām izmaksām.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16. jūlija noteikumi Nr. 480 "Eiropas Savienības kohēzijas politikas programmas 2021.–2027. gadam 2.1.1. specifiskā atbalsta mērķa "Energoefektivitātes veicināšana un siltumnīcefekta gāzu emisiju samazināšana"  2.1.1.6. pasākuma "Pašvaldību ēku energoefektivitātes paaugstināšana" pirmās projektu iesniegumu atlases kārtas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 neizmantotā ERAF finansējuma 635 136 </w:t>
      </w:r>
      <w:r w:rsidR="00000000" w:rsidRPr="00000000" w:rsidDel="00000000">
        <w:rPr>
          <w:i w:val="1"/>
          <w:rtl w:val="0"/>
        </w:rPr>
        <w:t xml:space="preserve">euro</w:t>
      </w:r>
      <w:r w:rsidR="00000000" w:rsidRPr="00000000" w:rsidDel="00000000">
        <w:rPr>
          <w:rtl w:val="0"/>
        </w:rPr>
        <w:t xml:space="preserve"> apmērā novirzīšanu no 2.1.1.6. pasākuma pirmās projektu iesniegumu atlases kārtas uz Pasākuma atlases kārtu, un ņemot vērā, ka finansējuma novirzīšanai nav ietekmes uz finansējuma saņēmējiem un projekta iesniegumu vērtēšana ir noslēgusies, VARAM grozījumus Ministru kabineta 2024. gada 16. jūlija noteikumos Nr. 480 "Eiropas Savienības kohēzijas politikas programmas 2021.–2027. gadam 2.1.1. specifiskā atbalsta mērķa "Energoefektivitātes veicināšana un siltumnīcefekta gāzu emisiju samazināšana"  2.1.1.6. pasākuma "Pašvaldību ēku energoefektivitātes paaugstināšana" pirmās projektu iesniegumu atlases kārtas īstenošanas noteikumi" sagatavos kopā ar citiem (būtiskiem) grozījumiem šajā normatīvajā aktā, nosakot, ka turpmāk 2.1.1.6. pirmās projektu iesniegumu atlases kārtas kopējais finansējums ir ne mazāks kā 2 892 435 </w:t>
      </w:r>
      <w:r w:rsidR="00000000" w:rsidRPr="00000000" w:rsidDel="00000000">
        <w:rPr>
          <w:i w:val="1"/>
          <w:rtl w:val="0"/>
        </w:rPr>
        <w:t xml:space="preserve">euro</w:t>
      </w:r>
      <w:r w:rsidR="00000000" w:rsidRPr="00000000" w:rsidDel="00000000">
        <w:rPr>
          <w:rtl w:val="0"/>
        </w:rPr>
        <w:t xml:space="preserve">, tai skaitā ERAF finansējums – 2 458 569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433 866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2024. gada 5. novemba noteikumi Nr. 700 "Eiropas Savienības kohēzijas politikas programmas 2021.–2027. gadam 2.1.1. specifiskā atbalsta mērķa "Energoefektivitātes veicināšana un siltumnīcefekta gāzu emisiju samazināšana"  2.1.1.6. pasākuma "Pašvaldību ēku energoefektivitātes paaugstināšana" otrās projektu iesniegumu atlases kārtas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 neizmantotā ERAF finansējuma 2 901 667 </w:t>
      </w:r>
      <w:r w:rsidR="00000000" w:rsidRPr="00000000" w:rsidDel="00000000">
        <w:rPr>
          <w:i w:val="1"/>
          <w:rtl w:val="0"/>
        </w:rPr>
        <w:t xml:space="preserve">euro</w:t>
      </w:r>
      <w:r w:rsidR="00000000" w:rsidRPr="00000000" w:rsidDel="00000000">
        <w:rPr>
          <w:rtl w:val="0"/>
        </w:rPr>
        <w:t xml:space="preserve"> apmērā novirzīšanu no 2.1.1.6. pasākuma otrās projektu iesniegumu atlases kārtas uz Pasākuma atlases kārtu, un ņemot vērā, ka finansējuma novirzīšanai nav ietekmes uz finansējuma saņēmējiem un projekta iesniegumu vērtēšana ir noslēgusies, VARAM  grozījumus Ministru kabineta 2024. gada 5. novembra  noteikumos Nr. 700 "Eiropas Savienības kohēzijas politikas programmas 2021.–2027. gadam 2.1.1. specifiskā atbalsta mērķa "Energoefektivitātes veicināšana un siltumnīcefekta gāzu emisiju samazināšana" 2.1.1.6. pasākuma "Pašvaldību ēku energoefektivitātes paaugstināšana" otrās projektu iesniegumu atlases kārtas īstenošanas noteikumi" sagatavos kopā ar citiem (būtiskiem) grozījumiem šajā normatīvajā aktā, nosakot, ka turpmāk 2.1.1.6. otrās projektu iesniegumu atlases kārtas kopējais finansējums ir ne mazāks kā 3 521 780 </w:t>
      </w:r>
      <w:r w:rsidR="00000000" w:rsidRPr="00000000" w:rsidDel="00000000">
        <w:rPr>
          <w:i w:val="1"/>
          <w:rtl w:val="0"/>
        </w:rPr>
        <w:t xml:space="preserve">euro</w:t>
      </w:r>
      <w:r w:rsidR="00000000" w:rsidRPr="00000000" w:rsidDel="00000000">
        <w:rPr>
          <w:rtl w:val="0"/>
        </w:rPr>
        <w:t xml:space="preserve">, tai skaitā ERAF finansējums – 2 289 157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1 232 623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32025D2630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16. decembra Lēmums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ietvertas normas, lai piemērotu valsts atbalsta noteikumus kompensācijām par pakalpojumu ar vispārēju tautsaimniecisku nozīmi sniegšanu un nodrošinātu saderību ar ES iekšējo tirgu.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panta 2.  un 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16. decembra Lēmums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Komisijas 2025. gada 16. decembra Lēmums Nr.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un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ietvertas normas, lai piemērotu valsts atbalsta noteikumus kompensācijām par pakalpojumu ar vispārēju tautsaimniecisku nozīmi sniegšanu un nodrošinātu saderību ar ES iekšējo tirgu.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Finanšu ministrija,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https://vktap.mk.gov.lv/public_participations/additional_documents/58c10c16-ce21-402b-95f1-ac6e9cb5cb43/download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saņemti viedokļi no Sabiedrības ar ierobežotu atbildību (turpmāk - SIA) "Jūrmalas siltums", SIA "Salaspils Siltums" un biedrības "Zaļā brīvība", Biedrība “Latvijas Lielo pilsētu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VARAM un tas tiks saskaņots ar Finanšu ministriju, Tieslietu ministriju, Labklājības ministriju, Ekonomikas ministriju, Klimata un enerģētikas ministriju un citām institūcijām (ja nepieciešams) atbilstoši MK 2021. gada 7. septembra noteikumos Nr. 606 “Ministru kabineta kārtības rullis”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 labvēlīgi ietekmēs publisko pakalpojumu attīstību, jo tās ietvaros var tikt uzlabota sabiedrisko pakalpojumu – ūdenssaimniecības, siltumapgādes vai valsts vai pašvaldības apmaksātus veselības aprūpes pakalpojumu, kvalitāte un mazināta to izmaksu ietilpība.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radīs pozitīvu ietekmi uz Nacionālā attīstības plāna Rīcības virziena mērķa indikatoru “SEG emisiju intensitāte”.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atjaunots ēku fonds pašvaldībās. Noteikumu projekts paredz, ka atbalsta saņemšanai ir nepieciešams nodrošināt atbilstību pašvaldības attīstības programmai.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NBK ievērošanai un atbilst noteiktajiem ES un nacionālajiem vides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“Nenodarīt būtisku kaitējumu” ievērošanā un atbilst ES un nacionālajiem vides tiesību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“Energoefektivitāte pirmajā vietā” un “Klimatdrošināšana” ievērošanā, kur Pasākumam ir tieša pozitīva ietekme, jo atbalstīti tiks projekti, kas nodrošinās ēkas vai tās daļas atbilstību gandrīz nulles enerģijas ēkas patēriņa līmenim vai bezemisiju ēkas patēriņa līmenim, kā arī tiks atbalstīti risinājumi, kas izmanto AER enerģijas ražošanai. Pasākuma rādītāji (rezultāta rādītājs – primārais enerģijas ikgadējais patēriņš, nacionālais rādītājs - uzstādītā AER izmantojošo tehnoloģiju enerģijas papildu ražošanas jauda un iznākuma rādītājs – publiskās ēkas ar uzlabotu energoefektivitāti) tieši sekmē un raksturo horozintālo principu izpildi, kā arī projektu iesniegumu vērtēšanas kvalitātes kritērijos tiks novērtēta katra projekta ikgadējais siltumnīcefekta gāzu emisiju samazinājums. Projektu iesniegumu vērtēšanā tiks piemēroti vienotie izvēles kritēriji gan horizontālā principa “Energoefektivitāte pirmajā vietā” ievērošanai, gan horizontālā principa “Klimatdrošināšana”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samazināts enerģijas patēriņš publiskajā sektorā un būvniecībā tiks izmantotas preces, pakalpojumi un būvdarbi ar augstu energoefektīvitāti.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pasākumam noteikts, ka nav ietekmes uz horizontālo principu "Vienlīdzība, iekļaušana, nediskriminācija un pamattiesību ievērošana"  (turpmāk - HP VINPI). Vienlaikus noteikumu projekts paredz atbalstāmās darbības vides un informācijas piekļūstamības nodrošināšanai, kas veicinās personu ar invaliditāti vienlīdzīgas iespējas un tiesības. 2.1.1.6. pasākuma atlases kārtas ietvaros finansējuma saņēmējiem jāīsteno vismaz viena HP VINPI vispārīgā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VINPI darbības, kas veicina personu ar invaliditāti vienlīdzīgas iespējas un iekļaušanu,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atbalstāms sociāli atbildīgs iepirkums,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var izvēlēties īstenot projektā arī specifiskās HP VINPI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ekspertu konsultācijas par  vides un IT risinājumu piekļūstamību;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informācijas piekļūstamības pašnovērtējums;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labās prakses darbības, kas īpaši veicina  piekļūstamību;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daudzveidības un iekļaušanas princips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ietves ar lēzenu nobraukumu/uzbraukumu.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“Horizontālais princips “Vienlīdzība, iekļaušana, nediskriminācija un pamattiesību ievērošana” vadlīnijas īstenošanai un uzraudzībai (2021-2027), 5. pielikums,  pieejams: https://www.lm.gov.lv/lv/vadlinijas-horizontala-principa-vienlidziba-ieklausana-nediskriminacija-un-pamattiesibu-ieverosana-istenosanai-un-uzraudzibai-2021-2027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pasākumam noteikts, ka nav ietekmes uz horizontālo principu "Vienlīdzība, iekļaušana, nediskriminācija un pamattiesību ievērošana"  (turpmāk - HP VINPI). 2.1.1.6. pasākuma atlases kārtas ietvaros finansējuma saņēmējiem jāīsteno vismaz viena HP VINPI vispārīgā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Vispārīgo HP VINPI darbību, kas veicina dzimumu līdztiesību,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var izvēlēties īstenot projektā arī specifiskās HP VINPI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drošs ārtelpas apgaismojums;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abiem dzimumiem  piekļūstamas bērna aprūpes istabas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“Horizontālais princips “Vienlīdzība, iekļaušana, nediskriminācija un pamattiesību ievērošana” vadlīnijas īstenošanai un uzraudzībai (2021-2027), 5. pielikums,  pieejams: https://www.lm.gov.lv/lv/vadlinijas-horizontala-principa-vienlidziba-ieklausana-nediskriminacija-un-pamattiesibu-ieverosana-istenosanai-un-uzraudzibai-2021-2027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sniegs pozitīvu ietekmi uz personām, kas uzturās atjaunotajā  vai pārbūvētajā ēkā un to veselību, jo tajās tiks uzlabots mikroklimats ar adekvātu, regulējamu iekštelpu temperatūru un ventilācijas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pasākumam noteikts, ka nav ietekmes uz horizontālo principu "Vienlīdzība, iekļaušana, nediskriminācija un pamattiesību ievērošana". Noteikumu projekta izstrādē ņemtas vērā Labklājības ministrijas un Tieslietu ministrijas izstrādātās vadlīnijas Horizontālais princips “Vienlīdzība, iekļaušana, nediskriminācija un pamattiesību ievērošana”. Vadlīnijas īstenošanai un uzraudzībai (2021-2027) ( https://www.lm.gov.lv/lv/vadlinijas-horizontala-principa-vienlidziba-ieklausana-nediskriminacija-un-pamattiesibu-ieverosana-istenosanai-un-uzraudzibai-2021-2027), tādējādi noteikumu projekts neparedz specifiskus kritērijus un nosacījumus horizontālā principa izpildei. Vienlaikus, lai nodrošinātu personu ar invaliditāti tiesības un iekļaušanu, noteikumu projekts paredz attiecināmās izmaksas darbību vides un informācijas piekļūstamības nodrošināšanai, kā arī vides un informācijas piekļūstamības nodrošināšanai nepieciešamā aprīkojuma iegādes un nepieciešamo būvdarbu veikšanas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kuros tiks īstenotas aktivitātes vides un informācijas pielāgošanai, tiks ņemtas vērā Latvijas būvnormatīvā LBN-200-21 noteiktās vides piekļūstamības prasības.  Finansējuma saņēmējiem ir ieteicams konsultēties ar vides un informācijas piekļūstamības ekspertiem, Labklājības ministrijas mājas lapā ir pieejams ekspertu saraksts, prasības ekspertu atzinumiem un ieteikumi iepirkumiem par vides un informācijas piekļūstamības ekspertu pakalpojumiem (https://www.lm.gov.lv/lv/vides-un-informacijas-pieklustamibas-eksperti). Vienlaikus finansējuma saņēmējiem ir jāņem vērā Labklājības ministrijas izstrādātie metodiskie un informatīvie materiāli par piekļūstamas un iekļaujošas vides veidošanu (https://www.lm.gov.lv/lv/celvedis-ieklaujosas-videsveidosanai-valsts-un-pasvaldibu-iestades-2020, https://www.lm.gov.lv/lv/ieteikumi-ieklaujosas-vides-veidosanai).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ēku vides un informācijas piekļūstamību cilvēkiem ar invaliditāti, ieteicams izmantot Labklājības ministrijas izstrādātu vides un informācijas piekļūstamības pašnovērtējuma anketu (https://www.lm.gov.lv/lv/vides-un-informacijas-pieklustamibas-pasnovertejums).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īstenošanā projektu ieviesēji tiks aicināti nodrošināt, ka informācija publiskajā telpā, tai skaitā tīmeklī, ir piekļūstama cilvēkiem ar funkcionēšanas ierobežojumiem, izmantojot vairākus sensoros (redze, dzirde, tauste) kanālus (atbilstoši VARAM vadlīnijām “Tīmekļvietnes izvērtējums atbilstoši digitālās vides piekļūstamības prasībām (WCAG 2.1 AA)” (https://pieklustamiba.varam.gov.lv). Vadlīnijas informācijas piekļūstamības izvērtējumam pieejamas šeit: https://www.varam.gov.lv/lv/wwwvaramgovlv/lv/pieklustamiba.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25-TA-908</w:t>
    </w:r>
    <w:r>
      <w:br/>
    </w:r>
    <w:r w:rsidR="00000000" w:rsidRPr="00000000" w:rsidDel="00000000">
      <w:rPr>
        <w:rtl w:val="0"/>
      </w:rPr>
      <w:t xml:space="preserve">Izdrukāts 29.07.2026. 21.29 - 6.0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25-TA-908</w:t>
    </w:r>
    <w:r>
      <w:br/>
    </w:r>
    <w:r w:rsidR="00000000" w:rsidRPr="00000000" w:rsidDel="00000000">
      <w:rPr>
        <w:rtl w:val="0"/>
      </w:rPr>
      <w:t xml:space="preserve">Izdrukāts 29.07.2026. 21.29 - 6.0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anotācija_(ex_ante)_25-TA-908.docx</dc:title>
</cp:coreProperties>
</file>

<file path=docProps/custom.xml><?xml version="1.0" encoding="utf-8"?>
<Properties xmlns="http://schemas.openxmlformats.org/officeDocument/2006/custom-properties" xmlns:vt="http://schemas.openxmlformats.org/officeDocument/2006/docPropsVTypes"/>
</file>