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1.4.1. specifiskā atbalsta mērķa "Uzlabot digitālo savienojamību" 1.4.1.1. pasākuma "Platjoslas infrastruktūras attīstība (pēdējā jūdze)"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1.4.1. specifiskā atbalsta mērķa “Uzlabot digitālo savienojamību” 1.4.1.1. pasākuma “Platjoslas infrastruktūras attīstība (pēdējā jūdze)” īstenošanas noteikumi”  (turpmāk – noteikumu projekts) izstrādāts, pamatojoties uz Eiropas Savienības fondu 2021.-2027. gada plānošanas perioda vadības likuma 19. panta 13. punktu. Noteikumu projekta ietvaros tiks sniegts atbalsts elektronisko sakaru komersantiem tādu tehnoloģiski neitrālu pieslēgumu ierīkošanai, kas atbalsta ilgtspējīgu nākamās paaudzes fiksēto un fiksēto bezvadu tīklu sakaru savienojamību elektronisko sakaru pakalpojumu pieejamības nodrošināšanai galalietotājiem, lai veicinātu elektronisko sakaru pakalpojumu atbilstību Eiropas Savienības un nacionālajiem stratēģiskajiem savienojamības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vienlīdzīgu un kvalitatīvu elektronisko sakaru pakalpojumu pieejamību galalietotājiem Latvijas teritorijā.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(turpmāk – ES) ir noteikusi stratēģiskos mērķus  attiecībā uz digitālo savienojamību (turpmāk – savienojamības mērķi), tostarp prasības attiecībā uz galalietotāju piekļuvi ātrgaitas internetam.  “Paziņojumā par Gigabitu sabiedrību”[1], paziņojumā “Eiropas digitālās nākotnes veidošana”[2], paziņojumā par “digitālo kompasu”[3] un Eiropas Parlamenta un Padomes lēmumu (ES) 2022/2481 (2022. gada 14. decembris), ar ko izveido politikas programmu “Digitālās desmitgades ceļš” 2030. gadam [4] ir noteikti ES stratēģiskie mērķi 2025. gadam un 2030. gadam, kas paredz visām Eiropas mājsaimniecībām piekļuvi interneta savienojamībai, kas nodrošina vismaz 100 Mb/s, kā arī gigabitu savienojamību visiem galvenajiem sociālekonomiskajiem virzītājspēkiem.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2016. gada 14. septembra paziņojums Eiropas Parlamentam, Padomei, Eiropas Ekonomikas un sociālo lietu komitejai un Reģionu komitejai “Konkurētspējīga digitālā vienotā tirgus savienojamība. Virzība uz Eiropas Gigabitu sabiedrību” (COM(2016) 587 final). Pieejams šeit: https://eur-lex.europa.eu/legal-content/LV/TXT/?uri=CELEX:52016DC0587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2020. gada 19. februāra paziņojums Eiropas Parlamentam, Padomei, Eiropas Ekonomikas un sociālo lietu komitejai un Reģionu komitejai “Eiropas digitālās nākotnes veidošana (COM(2020) 67 final). Pieejams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https://eur-lex.europa.eu/legal-content/LV/TXT/?uri=CELEX:52020DC0067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2021. gada 9. marta paziņojums Eiropas Parlamentam, Padomei, Eiropas Ekonomikas un sociālo lietu komitejai un Reģionu komitejai “Digitālais kompass līdz 2030. gadam – Eiropas ceļam digitālajā gadu desmitā” (COM(2021) 118 final). Pieejams šeit: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https://eur-lex.europa.eu/legal-content/LV/TXT/?uri=CELEX:52021DC0118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lēmums (ES) 2022/2481 (2022. gada 14. decembris), ar ko izveido politkas programmu “Digitālās desmitgades ceļš” 2030. gadam. Pieejams šeit: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https://eur-lex.europa.eu/legal-content/LV/TXT/?uri=celex:32022D2481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Satiksmes ministrijas pasūtījuma 2020.gadā tika veikts pētījums “Pētījums Eiropas Savienības fondu 2021.-2027. gada plānošanas perioda ieguldījumu priekšnosacījumu izpildei” [5] (turpmāk - pētījums), kura mērķis bija izpētīt elektronisko sakaru tīklu infrastruktūras un elektronisko sakaru pakalpojumu kvalitātes atbilstību Savienojamības paziņojuma mērķiem, sagatavojot esošās un plānotās platjoslas piekļuves pakalpojumu pieejamības un infrastruktūras kartējumu un veicot analīzi par piemērotāko intervences modeli. Pētījumā konstatēts, ka valsts atbalsta programmas Nr.SA.33324 (2011/N) “Nākamās paaudzes tīkli lauku teritorijās” projekta ietvaros izbūvēto infrastruktūru operatori izmanto galvenokārt vietās, kur jau vēsturiski tiem ir bijusi izveidota infrastruktūra “pēdējās jūdzes” risinājumiem, paaugstinot savu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ļoti augstas veiktspējas tīkli (very high capacity networks, turpmāk VHCN) ar augšupielādes un lejupielādes datu pārraides ātrumu vismaz 100Mb/s pieejami tikai apmēram 1,6% valsts teritorijas (lielajās pilsētās un apdzīvotajās vietās), taču tajā dzīvo 70,1%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šīs teritorijas, kur VHC tīkla pakalpojumi ir pieejami, ir pilsētas un lielākās apdzīvotās vietas, valstī ir ļoti lielas pilsētu un lauku teritoriju atšķirības platjoslas tīklu pārklājuma ziņā. Šī situācija nav apmierinoša un ir jāuzlabo, lai gan tā ir objektīvi saistīta ar zemu iedzīvotāju vidējo apdzīvotības blīvumu valstī, t.i., vēsturiski lielu iedzīvotāju koncentrāciju Rīgas areālā un reģionālajos centros, kā arī ar aktīvu migrāciju no lauku teritorijām uz šiem centriem vai uz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mobilo sakaru tīkli ir pieejami apmēram 90% valsts teritorijas un tajā dzīvo apmēram 97,7%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mobilo sakaru tīkla ātrdarbību var novērtēt, balstoties uz Sabiedrisko pakalpojumu regulēšanas komisijas (turpmāk - SPRK) regulāri veiktajiem mērījumiem. Atbilstoši SPRK 2019. gada mērījumiem, pieslēguma ātruma vidējās vērtības 4G datu pārraides tehnoloģijā 2019.gadā Latvijā bija 36,6 Mb/s lejupielādei un 19,15 Mb/s augšupielādei. Tādējādi var uzskatīt, ka valstī ir nodrošināts labs mobilās interneta piekļuves pārklājums ar vidējo datu pārraides ātrumu ap 30 Mb/s. Taču vienlaicīgi lejupielādes ātrums virs 30 Mb/s ir bijis tikai 64% no mērījumu, kas veikti dažādās vietās valstī. SPRK atzīmē, ka, lai gan kopumā pakalpojuma pieejamība valstī ir laba, tomēr atsevišķos mērījumos novērotas augšupielādes ātruma vērtības, kas ir zemākas pat par 256 Kb/s, un šādās teritorijās pakalpojuma pieejamība elektroniskajā vidē var būt būtiski traucēta.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kurās šobrīd nav pieejami platjoslas piekļuves pakalpojumi ar datu pārraides ātrumu vismaz 100 Mb/s (VHCN tīklu baltās teritorijas) veido visa Latvijas valsts teritorija, izņemot tās teritorijas, kurās ir piekļuve platjoslas optiskajam tīklam, un aptver 98,4% no visas Latvijas valsts teritorijas, kur dzīvo 577,95 tūkst. iedzīvotāji jeb 30,3%.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platjoslas pakalpojumu mazumtirdzniecības cenu analīzi, secināts,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tā kā visi 3 valsts mobilo sakaru operatori savus pakalpojumus piedāvā visā valstī, to cenas visur ir līdzvērtīgas. Operatoru konkurence nodrošina galalietotājiem pieejamas cenas, kas sākas no apmēram 10 EUR mēnesī un iekļauj interneta piekļuves pakalpojumu ar vidējo datu pārraides ātrumu aptuveni 30Mbit/s.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arī fiksēto platjoslas piekļuves pakalpojumu mazumtirdzniecības cenas dažādās vietās valstī, kur šādi pakalpojumi ir pieejami, ir ļoti līdzīgas, jo lielākais pakalpojumu sniedzējs piedāvā savus pakalpojumus par vienādām cenām visā valstī un pārējiem tirgus spēlētājiem ir jākonkurē ar līdzīgām cenām. Šīs cenas sākas no apmēram 15 EUR mēnesī par pakalpojumu ar augšupielādes un lejupielādes 100 Mbit/s datu pārraides ātrumu. Te jāņem vērā, ka fiksētie platjoslas pakalpojumi ar ātrumu virs 100Mb/s reāli ir pieejami tikai pilsētās un lielākajās apdzīvotās 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jaunu optisko tīklu pieslēgumu ierīkošana individuāliem klientiem tālu no “vidējās jūdzes” tīklu pieslēguma punktiem prasa lielas investīcijas. Lai tās veiktu, pakalpojumu sniedzēji bieži prasa klientu finansiālu līdzdalību, tāpēc efektīvās VHC platjoslas pakalpojumu izmaksas mazstāvu apbūves teritorijās un mazās apdzīvotās vietās var būt augstas un bieži nepieejamas.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tirgus nepilnība valstī nav saistīta ar platjoslas pakalpojumu mazumtirdzniecības cenām dažādās teritorijās, bet gan ar pieejamajiem tehnoloģiskajiem risinājumiem un platjoslas tīklu infrastruktūras attīstības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“Pētījums Eiropas Savienības fondu 2021.-2027. gada plānošanas perioda ieguldījumu priekšnosacījumu izpildei” rezultātiem. (Pieejams šeit: https://www.sam.gov.lv/lv/petijumi#petijums-eiropas-savienibas-fondu-2021-2027-gada-planosanas-perioda-ieguldijumu-prieksnosacijumu-izpildei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pētījuma rezultātiem secināms, ka, vērtējot reģionālajā dalījumā, teritorijās ārpus lielākajām pilsētām, ieskaitot tām pieguļošās teritorijās, trūkst ”vidējās jūdzes” un “pēdējās jūdzes” infrastruktūras, kas spētu nodrošināt Savienojamības paziņojuma mērķiem atbilstošus interneta piekļuves pakalpojumus galalietotājiem. Tīklu izbūves dārdzības dēļ elektronisko sakaru komersantiem nav pietiekošas ekonomiskās iniciatīvas izvērst ļoti augstas veiktspējas elektronisko sakaru tīklus.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konstatēts, ka platjoslas piekļuves pakalpojumi ar datu pārraides ātrumu vismaz 100 Mb/s nav pieejami 98,4% Latvijas teritorijas (VHCN tīklu baltās teritorijas), kurā dzīvo 577,95 tūkstoši  jeb 30,3% iedzīvotāju.  Teritorijas, kurās šobrīd nav pieejami platjoslas piekļuves pakalpojumi ar datu pārraides ātrumu vismaz 100 Mb/s (VHCN tīklu baltās teritorijas) veido visa Latvijas valsts teritorija, izņemot tās teritorijas, kurās ir piekļuve platjoslas optiskajam tīklam, un aptver 98,4% no visas Latvijas valsts teritorijas, kur dzīvo 577,95 tūkst. iedzīvotāji jeb 30,3%.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pasākumā “Platjoslas infrastruktūras attīstība (pēdējā jūdze)” (turpmāk – pasākums), īstenojot Eiropas savienojamības mērķus, plānots līdz 2029.gada 31.decembrim 3268 galalietotājiem VHCN baltajās teritorijās nodrošināt piekļuvi interneta pakalpojumam ar datu pārraides ātrumu vismaz 300 Mbit/s. Pasākuma ietvaros plānots īstenot kopā sešus projektus – projektu iesniegumu atlases pirmajā kārtā piecus projektus (katrā plānošanas reģionā pa vienam projektam) un otrajā kārtā vienu projektu pa visu Latvijas teritoriju. Šāda kārtība paredzēta, ņemot vērā 1.4.1. specifiskā atbalsta mērķa “Uzlabot digitālo savienojamību” (turpmāk – 1.4.1.SAM)  ietvaros noteikts nosacījumus par  elastības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elektronisko sakaru pakalpojumu galalietotāji – mājsaimniecības (mājokļi) un uzņēmumi, kas ir sociālekonomiskie virzītājspēki saskaņā ar regulas Nr. 651/2014 2. panta 139. b punktu. Minētais regulas punkts nosaka, ka “sociālekonomiskie virzītājspēki” ir subjekti, kuri ar savu uzdevumu, pēc savas būtības vai ar atrašanās vietu var tieši vai netieši radīt svarīgus sociālekonomiskus labumus iedzīvotājiem, uzņēmumiem un vietējām kopienām, kas atrodas to apkārtējā teritorijā vai to ietekmes zonā, tostarp publiskās iestādes, publiski vai privāti subjekti, kuriem uzticēts sniegt vispārējas nozīmes pakalpojumus vai vispārējas tautsaimnieciskas nozīmes pakalpojumus, kā noteikts Līguma 106. panta 2. punktā, kā arī digitāli intensīvie uzņēmumi.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rezultātā tiks izbūvēta VHCN elektronisko sakaru tīkla infrastruktūra, kas nodrošinās galalietotājiem vismaz 300 Mb/s lejuplādes ātrumu. Pasākuma ietvaros tiks izveidota gan piekļuves tīkla (“pēdējās jūdzes”), gan, kur tas nepieciešams galalietotāju pieslēgumu izveidei, arī  atvilces maršrutēšanas (“vidējās jūdzes”) tīkla infrastruktūra. Komersantam ir noteikts pienākums dot piekļuvi (vairumtirdzniecības piekļuve) arī citiem komersantiem, lai tie varētu sniegt interneta piekļuves pakalpojumu galalietotājiem. Pasākuma rezultāta rādītāji ir Eiropas Parlamenta un Padomes 2021. gada 24. jūnija regulas 2021/1058 par Eiropas Reģionālās attīstības fondu un Kohēzijas fondu, I pielikumā noteiktie kopīgie rādītāji attiecībā uz galalietotāju piekļuvi un interneta pakalpojuma abonēšanu. Saskaņā ar Eiropas Savienības kohēzijas politikas programmas 2021.–2027.gadam rādītāju aprakstu mājokļu skaita, kam nodrošināta piekļuve ļoti augstas veiktspējas tīklam vai kuri abonē šāda tīkla sniegtos pakalpojumus, uzskaites mērvienība ir mājsaimniecību skaits.  Tādējādi regulas 2021/1058 noteiktajos kopīgajos rādītājos izmantotais jēdziens “mājoklis” ir atbilstošs vārdam “mājsaimniecība”. Attiecīgi rādītāju uzskaitē, ja vienā objektā, piemēram, daudzdzīvokļu ēkā, ir vairāki dzīvokļi, tad attiecīgi tiek uzskaitīts, ka ēkas adresē ir nodrošināta piekļuve vairākām mājsaimniecībām.  Papildus, saskaņā ar rādītāju aprakstā sniegto informāciju rādītājā nav ieskaitāmi kolektīvie mājokļi piemēram, slimnīcas, pansionāti un citi kolektīvie mājokļi, kā arī cietumi, militārās kazarmas, reliģiskās iestādes, strādnieku mītnes utt.. Saskaņā ar Eiropas Komisijas definīciju ar piekļuvi tiek saprasta iespēja abonēt iepriekš minētajiem VHCN tīkla sakaru pakalpojumu ne vēlāk kā mēneša laikā pēc tam, kad galalietotājs paziņojis par šādu izvēli. Iespēja abonēt, nozīmē, ka būvniecības objekts ir nodots ekspluatācijā un faktiski nav nepieciešami citi elektronisko sakaru tīkla būvdarbi, izņemot iekšējā tīkla izveidi. Noteikumu projekts paredz, ka kopumā piekļuve tiks nodrošināta vairākiem tūkstošiem galalietotāju (mājsaimniecībām un uzņēmumiem), un ka vismaz puse no tiem interneta pakalpojumu abonēs. Rādītāju sasniegšana tiks noteikta, balstoties uz projekta datiem, saskaņā ar finansējuma saņēmēja sadarbības iestādei sniegto progresa ziņojumu, kura saturs un sniegšanas kārtība tiks noteikta līgumā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ir paredzēti vairāki projekti, pasākumā sasniegto kopējo uzraudzības rādītāju vērtības noteiks sadarbības iestāde sadarbībā ar Satiksmes ministriju (nozares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atbilst šādām intervences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kods 33 - IKT: ļoti augstas veiktspējas platjoslas tīkls (daudzdzīvokļu  ēkās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kods 34 - IKT: ļoti augstas veiktspējas platjoslas tīkls (atsevišķās mājās vai uzņēmumu telpās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veida kods 01 –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teritoriālo sasniegšanas mehānismu kods 33 -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sekundārās tēmas kods 09 –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līdztiesības kods 03 - dzimumu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atbalstāmā darbība ir tehnoloģiski neitrālu pieslēgumu ierīkošana, kas atbalsta ilgtspējīgu nākamās paaudzes fiksēto un fiksēto bezvadu tīklu sakaru savienojamību elektronisko sakaru pakalpojumu pieejamības nodrošināšanai noteikumu projekta 5.punktā minētajiem galalietotājiem ar lejupielādes ātrumu vismaz 300 Mb/s maksimumstundas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nav plānotas netiešās attiecināmās izmaksas. Pasākumā attiecināmās izmaksas ir saistītas ar ļoti augstas veiktspējas tīkla pasīvās un aktīvās infrastruktūras ierīkošanu, tostarp projektēšanu, būvniecību, iekārtu iegādi, testēšanu un kontroli, kā arī nepieciešamo elektropagādes pieslēgumu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Vienkāršotās izmaksas pasākumā netiek piemērotas, un finansējuma saņēmējam jāveic izmaksu uzskaite atbilstoši faktisko izmaksu uzskaites metodei. Pasākums ir saistīts ar komercdarbības atbalstu un tajā ir paredzēts izmantot atklāta konkursa procedūru atbilstoši publiskā iepirkuma principiem saskaņā ar regulas Nr. 651/2014 52.panta 7. punkta “a” apakšpunktu. Projektu vērtēšanas kritēriji paredz izdevīgākā piedāvājuma izvēli, tostarp pamatojoties uz papildu punktu piešķiršanu pretendentam, kurš piedāvā nodrošināt piekļuvi lielākam galalietotāju skaitam ar pieejamo finansējumu. Tāpat ir jāņem vērā, ka galalietotāju piekļuves nodrošināšanai nepieciešamās infrastruktūras izbūves izmaksas var būtiski atšķirties atkarībā no konkrētajiem apstākļiem (galalietotāja objekta attālums līdz esošam “vidējās jūdzes” tīklam vai nepieciešamība izbūvēt neesošu “vidējo jūdzi”,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Prasības projekta iesniedzējam un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projekta iesniedzējs ir elektronisko sakaru komersants. , kuram ir tiesības sniegt elektronisko sakaru pakalpojumus un nodrošināt elektronisko sakaru tīklu Latvijā, un kurš iepriekšējo trīs gadu laikā un kārtējā gadā līdz projekta iesniegšanas termiņa beigām ir nodrošinājis elektronisko sakaru tīkla izveidi vismaz 300 objektos (adresēs).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var piesaistīt sadarbības partneri, kurš arī ir elektronisko sakaru komersants, kā arī var izpildīt minēto prasību par tīkla nodrošināšanu 300 adresēs kopā ar partneri. Projekta sadarbības partnera piesaiste paredzēta, noslēdzot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Projektu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informācijas un publicitātes pasākumu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projektus īsteno saskaņā ar noslēgto līgumu par projekta īstenošanu, bet ne ilgāk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8 700 000 euro, kā arī ir noteikti nosacījumi attiecībā uz elastības finansējuma izmantošanu. Maksimālā Eiropas Reģionālās attīstības fonda finansējuma intensitāte ir 85% no projektam plānotā kopējā attiecināmā finansējuma, un privātais līdzfinansējums nav mazāks par 15% no projektam plānotā kopējā attiecināmā finansējuma. Eiropas Reģionālās attīstības fonda finansējuma intensitāte katram  projektam tiks noteikta, balstoties uz izmaksu un ieguvumu analīzē aprēķināto finansējuma deficīta procentuālo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finansējuma saņēmējam saņemt avansu, kura maksimālais apjoms nevar pārsniegt 30 % no projektam piešķirtā Eiropas Reģionālās attīstības fonda finansējuma, un noteikumu projektā ir atrunāti avansa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komercdarbības atbalsts tiek sniegts saskaņā ar Eiropas Komisijas 2014. gada 17. jūnija Regulas (ES) Nr. 651/2014, ar ko noteiktas atbalsta kategorijas atzīst par saderīgām ar iekšējo tirgu, piemērojot Līguma 107. un 108. pantu (turpmāk - regula Nr. 651/2014), 52.pantu “Atbalsts fiksētajiem platjoslas tīkliem”,  nepiemērojot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stingrāku prasību nepiemērošanu jāatzīmē, ka saskaņā ar Elektronisko sakaru nozares attīstības plānu 2021.-2027.gadam “pēdējās jūdzes” elektronisko sakaru tīklu infrastruktūras attīstīšanas modelim tika noteiktas simetriskas prasības augšupielādes ātrumam un lejupielādes ātrumam -100 Mb/s. Savukārt Eiropas Savienības stratēģiskajos dokumentos: Savienojamības paziņojumā (Eiropas Komisija 2016.gada 14.septembra paziņojums Eiropas Parlamentam, Padomei, Eiropas Ekonomikas un Sociālo Lietu Komitejai un Reģionu Komitejai “Konkurētspējīga digitālā vienotā tirgus savienojamība. Virzība uz Eiropas Gigabitu sabiedrību”) un EK lēmumā “Digitālās desmitgades ceļš” (Eiropas Parlamenta un Padomes 2022.gada 14.decembra lēmums (ES) 2022/2481, ar ko izveido politikas programmu “Digitālās desmitgades ceļš” 2030. gadam) katrai dalībvalstij sasniedzamie savienojamības mērķi ir noteikti, norādot nodrošināmo lejupielādes datu pārraides ātrumu, nevis augšupielādes ātrumu. Arī regulas Nr. 651/2014 52. panta 6 a) apakšpunkts, kas stājās spēkā ar 2023. gada 1. jūliju, nenosaka augšupielādes prasības, bet nosaka, ka atbalstītais tīkls vismaz trīskāršo lejupielādes ātrumu salīdzinājumā ar esošajiem tīkliem. Ņemot vērā minēto, nav pamatojuma noteikt stingrākas prasības, kas ievērojami var ierobežot konkurenci, izslēdzot daļu elektronisko sakaru komersantu no dalības atklātā projektu iesniegumu atlasē, ņemot vērā komersantu pašlaik izmantotos tehnoloģiskos risinājumus, tostarp viņiem pieejamo frekvenču diapazonu.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jāmin, ka, ņemot vērā regulas Nr. 651/2014 prasības, ir paaugstināts minimālais lejupielādes ātrums no 100 Mb/s uz 300 Mb/s. Attiecīgi Ministru kabineta 2023. gada 12.decembra protokollēmuma (prot. Nr. 61 71. §) 3.punkts uzdod Satiksmes ministrijai sagatavot un noteiktā kārtībā līdz 2024. gada 29. februārim iesniegt izskatīšanai Ministru kabinetā tiesību akta projektu par grozījumiem Elektronisko sakaru nozares attīstības plānā 2021-2027. gadam, kuros paredzēt izmaiņas "pēdējās jūdzes" elektronisko sakaru tīklu infrastruktūras attīstīšanas modelī, svītrojot prasību par augšupielādes ātruma nodrošināšanu, lai veicinātu konkurenci atklāta konkursa atlasē. Minētie grozījumi ir pieņemti Ministru kabinetā (2024.04.02. Nr. 14 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veids ir grants. Atbildīgā iestāde – Satiksmes ministrija. Atbalsta sniedzējs – Centrālā finanšu un līgumu aģentūra, kas sadarbībā ar Satiksmes ministriju atklāta konkursa kārtībā izvēlēsies projektu īstenotājus - elektronisko sakaru komersantus atbilstoši ES fondu uzraudzības komitejā apstiprinātajiem kritērijiem. Atbalsta saņēmēji - elektronisko sakaru komersanti. 2024.gada sākumā Sabiedrisko pakalpojumu regulēšanas komisijas (turpmāk – SPRK) reģistrā bija reģistrēti 205 aktīvi elektronisko sakaru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VII. nodaļā, kā arī citur tekstā (kur nepieciešams) ir noteikti ar komercdarbības atbalsta saņemšanu saistītie nosacījumi, lai nodrošinātu atbilstību regulas Nr. 651/2014 prasībām un normatīvajiem aktiem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uzskaitījums par regulas Nr. 651/2014 prasību atbilstību noteikumu projekta pantiem sniegts šīs anotācijas 5.sadaļā.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pirmajā kārtā vienam projektam pieejamais maksimālais pieejamais attiecināmo Eiropas Reģionālās attīstības fonda finansējums ir 1 245 724,2 euro. Ņemot vērā, ka pasākumam plānotais kopējais finansējums ir 8 700 000 euro, viena projekta finansējums nepārsniedz regulas Nr. 651/2014 52. panta 10.punktā noteikto robežvērtību 10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izvirzīta prasība, ka tas ir elektronisko sakaru komersants, kuram ir tiesības sniegt elektronisko sakaru pakalpojumus un nodrošināt elektronisko sakaru tīklu Latvijā un kurš iepriekšējo 3 (trīs) gadu laikā un kārtējā gadā līdz projekta iesniegšanas termiņa beigām ir nodrošinājis elektronisko sakaru tīkla izveidi vismaz 300 objektos (adresēs). Tas pamatojams ar to, ka elektronisko sakaru pakalpojumu galalietotājiem ir tiesības sniegt tikai elektronisko sakaru komersantiem, ievērojot normatīvo regulējumu sakaru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pieredzi ir izvirzīta, ņemot vērā obligāti noteikto sasniedzamā rādītāja apmēru vienā projektā, kā arī Ministru kabineta 2023. gada 12. decembra noteikumu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20.2. punktu, kurā projekta iesniedzējam un partnerim (ja attiecināms) ir izvirzītas līdzīgas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rezultātā izveidotās infrastruktūras piekļuves noteikumu uzraudzību un vairumtirdzniecības tarifa noteikšanu, ievērojot regulas Nr. 651/2014 52. panta 8. un 9. punktu, nodrošinās Satiksmes ministrijas izveidotā Subsidēto elektronisko sakaru tīklu uzraudzības komiteja.  Komiteja vismaz reizi trīs gados apstiprinās vairumtirdzniecības līmeņa piekļuves cenu projekta īstenošanas rezultātā izveidotajai infrastruktūrai un tās aprēķināšanas metodiku, kā arī apstiprinās vairumtirdzniecības līmeņa piekļuves nosacījumus pasākuma īstenošanas rezultātā izveidotajai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plānots, ka Subsidēto elektronisko sakaru tīklu uzraudzības komiteja, kas ir izveidota saskaņā ar Ministru kabineta 2023. gada 12. decembra noteikumiem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ar mērķi uzraudzīt “pēdējās jūdzes” investīciju rezultātā izveidotās infrastruktūras piekļuves jautājumus, ievērojot regulas 651/2014 52. panta 8. un 9. punktu, veiks arī 1.4.1.1.pasākuma rezultātā izveidoto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Subsidēto elektronisko sakaru tīklu uzraudzības komitejas galvenie uzdevumi saistīti ar piekļuves tarifu (piekļuves jēdziens atbilstoši Elektronisko sakaru likuma 1.panta 44. apakšpunktam), tostarp tā aprēķināšanas metodiku, un piekļuves nosacījumu apstiprināšanu projekta īstenošanas rezultātā izveidotajai infrastruktūrai. Papildus, Subsidēto elektronisko sakaru tīklu uzraudzības komiteja darbojas kā arī kā papildu formāts sabiedriskās apspriešanas nodrošināšanai, tas ir, bez tā, ka informācija saistībā ar kartēšanu un sabiedrisko apspriešanu atbilstoši regulas 651/2014 52. panta 5.punktam tiek publicēta Satiksmes ministrijas tīmekļa vietnē, tā tiek izskatīta Subsidēto elektronisko sakaru tīklu uzraudzības komitejā ar mērķi pievērst nozares pārstāvju papildu uzmanību un uzlabot sabiedriskās apspriešanas rezultātus, lai pieņemtu galējo lēmumu par sakaru tīklu ģeogrāfisko vietu. Komitejas sastāvā ir gan pašvaldību, gan nozares, gan uzņēmēju, kā arī Vides aizsardzības un reģionālās attīstības ministrijas pārstāvis, ņemot vērā tā kompetenci reģionālās attīstības plānošanas jomā. Padomdevēju tiesības ir SPRK un Konkurences padomes pārstāvjiem, ņemot vērā to kompetenci tarifu noteikšanas un konkurences jomā. Papildus kā ekspertu var pieaicināt arī Finanšu ministrijas pārstāvi, ņemot vērā kompetenci ES fondu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Subsidēto elektronisko sakaru tīklu uzraudzības komiteja pēc institucionālās būtības ir līdzīga mehānismam, kas darbojas 2014. - 2020. gada plānošanas periodā, īstenojot "vidējās jūdzes" investīciju uzraudzību. Skaidrojam, ka SPRK pienākumos neietilpst tieši uzraudzīt valsts atbalsta sniegšanas regulēšanu, kā arī pieņemt jebkādus saistošus lēmumus attiecībā uz investīcijas īstenošanu, līdz ar to norma attiecībā uz pakalpojuma sniegšanas regulēšanu ir saskaņā ar Elektronisko sakaru likuma 9. panta 21. apakšpunktu, kas nosaka, ka Regulators "pēc Satiksmes ministrijas pieprasījuma konsultē par valsts atbalsta pasākumu mērķa teritorijām, sasniedzamajiem rezultātiem, vairumtirdzniecības piekļuves produktiem, subsidētās infrastruktūras piekļuves nosacījumiem un cenām."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651/2014 52. panta 5. punktā noteiktajam, tiks veikta atbalstāmo teritoriju adrešu līmenī kartografēšana un sabiedriskā apspriešana. Atbalsta darbības jomu teritoriālā pārklājuma ziņā veido Latvijas valsts teritorija, kurā nav esoša vai attiecīgajā laikposmā izvēršanai ticami plānota tīkla, kas maksimumstundas apstākļos nodrošinātu vismaz 100 Mb/s lejupielādes ātrumu (robežvērtības ātrums), ko pārbauda saskaņā regulas Nr. 651/2014 52. panta 5. punktu, tas ir, 98.4% no visas Latvijas valsts teritorijas, savukārt, šajā teritorijā dzīvo 577 950 iedzīvotāju jeb 30.3%.  Ņemot vērā plānošanas reģionu priekšlikumus, Satiksmes ministrija identificēs objektus, kuros ir nepieciešams ļoti augstas veiktspējas tīkls (VHCN) un par kuriem var saņemt papildu punktus atklātā projektu iesniegumu atlasē (konkursā).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Identificēto objektu saraksta, kurā tostarp ietvertas konkrētu objektu adreses, par kuru ierīkošanu var saņemt papildu punktus projektu atlasē, gala redakcija tiks attiecīgi pievienota projektu atlases konkursa nolikumam. Gadījumos, kad pēc nolikuma, tai skaitā adrešu saraksta, publicēšanas, kļūs zināms, ka objektā ir ļoti augstas veiktspējas tīkls (VHCN) vai elektronisko sakaru komersantam noteiktajā termiņā nebūs iespējams saņemt nekustamā īpašnieka saskaņojumu par lietošanas tiesību aprobežojumu, konkrēto objektu varēs aizstāt ar citu. Detalizētas atlases prasības tiks noteiktas projektu atlases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attiecināmās izmaksas ir atbilstošas regulas 651/2014 52.panta 2. punktā minētajām tīkla izbūves izmaksām, tas ir, noteikumu projekta 30.2., 30.3., 30.7. un 30.9. apakšpunkti atbilst regulas 651/2014 52.panta 2. punktam -  tīkla izbūve, tai skaitā kā tīkla izbūves procesa sastāvdaļas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30.4. apakšpunktā minētais saskaņā ar Būvniecības likuma 1.panta 12.punktu, ka “būvniecība ir visu veidu būvju projektēšana un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30.5. apakšpunktā minētais saskaņā ar Ministru kabineta 2014.gada 19.augusta noteikumu Nr.500 “Vispārīgie būvnoteikumi” (turpmāk – Vispārīgie būvnoteikumi) 2.1.apakšpunktu, ka “autoruzraudzība ir kontrole, ko būvprojekta izstrādātājs veic pēc projektēšanas darbu pabeigšanas līdz būves nodošanai ekspluatācijā, lai nodrošinātu būves realizāciju atbilstoši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30.6. apakšpunktā minētais saskaņā ar Vispārīgo būvnoteikumu 2.5.apakšpunktu: “būvprojekta ekspertīze – profesionāla pārbaude, kuras mērķis ir sniegt izvērtējumu par būvprojekta tehniskā risinājuma atbilstību normatīvo aktu un tehnisko noteikumu prasībām”; atbilstoši Vispārīgo būvnoteikumu III.daļai “Būvniecības ieceres sagatavošana un inženierizpētes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30.8. apakšunktā minētais saskaņā ar Vispārīgo būvnoteikumu 2.13.apakšpunktu: “būvuzraudzība – profesionāla un neatkarīga būvdarbu veikšanas procesa uzraudzība, lai pārliecinātos par kvalitatīvu un drošu būves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30.10. apakšpunktā minētais saskaņā ar sakaru jomas speciālo regulējošo Ministru kabineta 2014.gada 19.augusta noteikumu Nr.501 “Elektronisko sakaru inženierbūvju būvnoteikumi” sadaļu VI. “Elektronisko sakaru tīkla pieņemšana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finansējuma saņēmējam pienākums nodrošināt projekta rezultātu ilgtspēju un elektronisko sakaru pakalpojumus galalietotājiem, kā arī nodrošināt vismaz tādu vairumtirdzniecības līmeņa piekļuvi, kas noteikta regulas Nr. 651/2014 52. panta 8. punktā, tas ir, aktīvo vairumtirdzniecības līmeņa piekļuvi piešķir vismaz uz 10 gadiem no tīkla darbības sākuma, un vairumtirdzniecības līmeņa piekļuvi platjoslas tīklam, kurā nav aktīvo komponentu (piemēram, kabeļu kanalizācijai, balstiem, mastiem, torņiem, tumšai optiskai šķiedrai, skapjiem, kabeļiem), piešķir uz attiecīgo elementu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saglabājas samērīgs un neizraisa neatbalstāmo darbību pārmērīgu kompensēšanu vai šķērssubsidēšanu, finansējuma saņēmējam ir pienākums: 1) nodrošināt atsevišķu grāmatvedības uzskaiti par finansējuma izlietojumu projektā, nodalot tā ietvaros veiktās darbības no citas saimnieciskās darbības; 2) vairumtirdzniecības līmeņa piekļuves tarifa projekta un tā aprēķināšanas metodikas projekta iesniegšanu nozares ministrijai vismaz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ieguldījumu atbalstāmās darbības indikatīvi var pārklāties ar darbībām, kas tiek atbalstītas saskaņā ar Ministru kabineta 2023. gada 12. decembra noteikumiem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Lai nodrošinātu demarkāciju, apstiprinot projektus, tiks vērtēti objekti adrešu līmenī, ņemot vērā valsts atbalsta nosacījumus un salīdzinot pret iesniegtajiem projektiem,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tiks nodrošināta jau pirms 1.4.1.1.pasākuma atklātas projektu atlases uzsākšanas, ņemot vērā sekojošo. 2.4.1.2.i. investīcijas projektu iesniegšana noteikta līdz 2024.04.10., un saskaņā ar Finanšu ministrijas lietotajiem investīciju prognozēšanas termiņiem projektu vērtēšanai paredzami 3 mēneši, savukārt  1.4.1.1.pasākuma ietvaros projektu atlase un iesniegumu apstiprināšana ir iespējama pēc noteikumu projekta pieņemšanas Ministru kabinetā,  līdz ar to abas minētās atlases būs secīgas un nepārklāsies laikā. Pirms 1.4.1.1.pasākuma projektu atlases izsludināšanas tiks veikta objektu saraksta atjaunošana, izslēdzot tos objektus, kuri iekļauti 2.4.1.2.investīcijas apstiprinātajos projektu iesniegumos un tiks aprīkoti šīs investīcijas ietvaros, tādējādi abu pasākumu īstenošanas vietas adrešu līmenī nepārklāsies. Attiecīgais objektu saraksts tiks pievienots atlases nolikumam, līdz ar to 1.4.1.1.pasākuma atklātā projektu atlasē būs izslēgti 2.4.1.2. investīcijas ietvaros aprīkojamie objekti un jau sākotnēji regulas Nr.651.2014 52.panta 7.punkta “a” apakšpunktā noteiktajā projektu atlasē nebūs iespējams pretendēt uz atbalstu šo objektu (galalietotāju adrešu līmenī)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principa "nenodarīt būtisku kaitējumu" ievērošanu un projekta atbilstību Eiropas Savienības un nacionālajiem normatīvajiem aktiem vides jomā, tostarp atbilstību zaļā publiskā iepirkuma principiem, zaļā publiskā iepirkuma obligāto prasību ievērošanu un to piemērošanas kārtību, kā arī nodrošina ilgtspējīgus un atjaunojamos energoresursus izmantojošus risinājumus vai ar tiem saistītas tehnoloģijas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pasākumu ir iekļauta Eiropas Savienības kohēzijas politikas programmas 2021.–2027.gadam 7.pielikumā “Papildus informācija par Eiropas Savienības kohēzijas politikas programma 2021.-2027.gadam ietvaros plānotajām stratēģiski svarīgajām darbībām (projektiem)”, visi pasākuma ietvaros īstenotie projekti ir uzskatāmi par stratēģiski svarīgiem, un attiecīgi finansējuma saņēmējam ir jāievēro stratēģiski svarīgiem projektiem noteiktās komunikācijas pasākumu papildu prasības, kuras noteiktas vadošās iestādes izstrādātās Eiropas Savienības fondu 2021.–2027. gada plānošanas perioda un Atveseļošanas fonda komunikācijas un dizaina vadlīnijās.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pasākuma ieviešanas risinājums ir atbilstošs ar Ministru kabineta 2021.gada 11.novembra rīkojumu Nr. 826 apstiprinātā Elektronisko sakaru nozares attīstības plāna 2021.-2027. gadam 1. rīcības virziena ''Savienojamības paziņojumam atbilstošas platjoslas elektronisko sakaru infrastruktūras attīstīšana'' 1.3. pasākumam – ''vidējās jūdzes'' un ''pēdējās jūdzes'' elektronisko sakaru tīklu infrastruktūras attīstīšana, kas balstās uz 2020.gadā pēc Satiksmes ministrijas pasūtījuma veiktā pētījuma  ''Pētījums Eiropas Savienības fondu 2021.-2027. gada plānošanas perioda ieguldījumu priekšnosacījumu izpildei''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atbalsta pasākumu nav plānots veikt novērtēšanu,  ņemot vērā tā finansējuma apmēru un atbilstoši metodikai, kas noteikta Komisijas dienestu darba dokumentā “Valsts atbalsta novērtējuma kopējā metodika”. 2024.gadā ir uzsākta Platjoslas pieejamības ģeogrāfiskās informācijas sistēmas ieviešana, ar kuras palīdzību Satiksmes ministrija regulāri plāno analizēt ļoti augstas veiktspējas tīklu pārklājumu un pakalpojumu pieejamību, nepieciešamības gadījumā piedāvājot papildu veicinošus pasākumus, ja atsevišķās teritorijās elektronisko sakaru operatori ar privātām investīcijām nespēs nodrošināt interneta pakalpojumu atbilstoši Eiropas Savienības un Latvijas stratēģiskiem mērķiem par vidējo tirgus cenu.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2 218 500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ne mazāks kā 8 700 000 euro (tai skaitā elastības finansējuma apjoms 1 372 211 euro), tai skaitā Eiropas Reģionālās attīstības fonda finansējums 7 395 000 euro (tai skaitā elastības finansējuma apjoms 1 166 379 euro) un privātais finansējums – ne mazāks par 1 305 000 euro (tai skaitā elastības finansējuma apjoms 205 831 euro). Maksimālā Eiropas Reģionālās attīstības fonda finansējuma intensitāte ir 85 procenti no projektam plānotā kopējā attiecināmā finansējuma, nepārsniedzot izmaksu un ieguvumu analīzē aprēķināto finansējuma deficīta procentuālo apmēru, un privātais līdzfinansējums nav mazāks par 15 procentiem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pasākumā ir paredzēts elastības finansējums, kopējais pieejamais attiecināmais finansējums līdz 2025. gada 31. decembrim, lai slēgtu līgumus par projektu īstenošanu, ir ne mazāks kā 7 327 789 euro, tai skaitā Eiropas Reģionālās attīstības fonda finansējums – 6 228 621 euro un privātais līdzfinansējums – ne mazāks kā 1 099 168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2026. gada 1. janvāra atbilstoši Eiropas Komisijas lēmumam par vidusposma pārskatu atbildīgā iestāde var ierosināt sadarbības iestādei palielināt pasākumam pieejamo Eiropas Reģionālās attīstības fonda finansējumu līdz noteikumu 10. punktā minētajam plānotajam kopējam finansējuma apmēram. Ja pasākumam pieejamais Eiropas Reģionālās attīstības fonda finansējums tiek palielināts, sadarbības iestāde izsludina projektu atlases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 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870 000 euro, t.sk. ERAF 739 500 euro, privātais finansējums 130 500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1 740 000 euro, t.sk. EARF 1 479 000, privātais finansējums 261 000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2 610 000 euro, t.sk. ERAF 2 218 500 euro, privātais finansējums 391500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1 740 000 euro, t.sk. ERAF 1 479 000 euro, privātais finansējums 261 000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 – 1 740 000 euro, t.sk. ERAF 1 479 000 euro, privātais finansējums 261 000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izdevumu attiecināmības termiņš ir līdz 2029. gada 31.decembrim.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pasākuma ietvaros paredzēto projektu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rezultātu ilgtspēja un uzturēšanu pēc projekta noslēgšanas finansējuma saņēmēji nodrošinās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noritēs atbilstoši projektu iesniegumu atlases nolikuma prasībām, tai skaitā, veicot finansējuma saņēmēja atbilstības novērtējumu Eiropas Parlamenta un Padomes 2018. gada 18. jūlija Regulā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noteiktajiem izslēgšanas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651/2014 ir noteiktas prioritātes valsts atbalsta noteikumu piemērošanas darbībām, lai panāktu lielāku vienkāršošanu un tiktu veicināta lielāka pārredzamība, efektīvāka novērtēšana un kontrole attiecībā uz valsts atbalsta noteikumu ievērošanu valstu un Savienības līmenī, vienlaikus saglabājot Komisijas un dalībvalstu institucionālās pilnvaras.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tiks sniegts valsts atbalsts atbilstoši regulas Nr. 651/2014 52.pantam “Atbalsts fiksētajiem platjoslas tīkliem”.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 un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(Eiropas Savienības Oficiālais vēstnesis 30.07.2018, L 193).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3.punkts;15.punkts; 16.punkts; 17.punkts; 29.punkts;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 44.punkts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 un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44.2.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139.e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y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 11.punkts; 13.punkts;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un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 un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 29.punkts; 30.punkts; 31.punkts; 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tostarp 2.punkts; 4.punkts; 5.punkts; 10.1. apakšpunkts; 11.punkts; 13.punkts; 24.punkts; 29.punkts; 30.punkts; 31.punkts; 32.punkts; 36.9.apakšpunkts; 36.10.apakšpunkts; 36.11.apakšpunkts; 37.punkts; 44.punkts; 45.punkts; 51.punkts; 52.punkts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 10.punkts; 44.2.4.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 10.punkts; 44.2.4.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29.punkts; 30.punkts; 31.punkts; 44.4.3.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7.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44.6.apakšpunkts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36.10.apakšpunkts; 44.2.apakšpunkts; 52.punkts.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36.10.apakšpunkts; 44.3.apakšpunkts; 52.1.apakšpunkts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36.9.apakšpunkts; 44.1.apakšpunkts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iestāde atbilstoši regulas Nr.651/2014 11.pantā noteiktajam iesniegs Eiropas Komisijai 20 darbdienu laikā no atbalsta pasākuma stāšanās spēkā kopsavilkuma informāciju regulas Nr.651/2014 II pielikumā noteiktajā standartizētajā formātā par atbalsta pasākumu, kā arī informācijas iesniegšanu reizi gadā ziņojumam.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kas palielinās pieprasījumu pēc publiskiem pakalpojumiem, tādējādi veicinot to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Izbūvētā infrastruktūra nodrošinās ļoti augstas veiktspējas tīklu un pakalpojumu pieejamību galalietotājiem, kā rezultātā tiem būs iespēja izmantot jauno tehnoloģiju piedāvātās iespējas (nodrošinot jaudīgus liela ātruma interneta pieslēgumus), tostarp lai saņemtu valsts un pašvaldību sniegtos 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veicinās informācijas sabiedrības politikas īstenošanas mērķi, proti, paaugstinās iedzīvotāju īpatsvaru, kas būs iespēja iespēja lietot IKT un pieejamos e-pakalpojumus.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1.4.1.1.pasākums sekmēs Nacionālā attīstības plāna 315.uzdevuma ''Eiropas Savienības savienojamības mērķiem atbilstoša platjoslas elektronisko sakaru tīkla izveidošana, attīstot ''vidējās jūdzes'' un ''pēdējās jūdzes'' elektronisko sakaru tīklu infrastruktūru un izveidojot platjoslas kartēšanu'' izpildi.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1.4.1.1.pasākums veicinās teritoriju attīstību, ņemot vērā, ka ļoti augstas veiktspējas tīkla pieejamība galalietotājiem ir būtisks priekšnosacījums esošo uzņēmumu attīstībai un jaunu uzņēmumu veidošanai, kā arī var piesaistīt cilvēkus, kuriem darba specifika ļauj strādāt no mājām.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horizontālā principa “Vienlīdzība, iekļaušana, nediskriminācija un pamattiesību ievērošana” īstenošanai un uzraudzībai (2021-2027), pasākumam nav ietekmes uz horizontālo principu "Vienlīdzība, iekļaušana, nediskriminācija un pamattiesību ievērošana". Vienlaikus, lai  nodrošinātu, ka projekta īstenošanā tiek veicināta vienlīdzība, iekļaušana, nediskriminācija un  ievērotas  pamattiesības, projekta iesnieguma vērtēšanā tiks piemērots horizontālā principa specifiskais atbilstības kritērijs. Kritērijā tiks vērtēts, vai projekta iesniegumā ir paredzēta vismaz viena vispārīgā darbība, kas attiecas uz publicitāti, personālu vai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arī uz horizontālajiem principiem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horizontālo principu “Nenodarīt būtisku kaitējumu” (NBK) un “Energoefektivitāte pirmajā vietā” pasākumam nav paredzamas ietekmes uz vides mērķi vai paredzamā ietekme ir nebūtiska saistībā ar pasākuma tiešajām un primārajām netiešajam sekām visā tā dzīves ciklā, ņemot vērā tā būtību, un tādējādi tas tiek uzskatīts par atbilstīgu NBK attiecībā uz attiecīgo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netieši veicinās Viedās specializācijas stratēģijas "Informācijas un komunikācijas tehnoloģijas” jomas paredzētos mērķus, vienlaikus pasākumā nav paredzētas pētniecības un attīstības darbības, līdz ar to netiks uzkrāti dati par RIS3 rādītājiem.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24-TA-593</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24-TA-593</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anotācija_(ex_ante)_24-TA-593.docx</dc:title>
</cp:coreProperties>
</file>

<file path=docProps/custom.xml><?xml version="1.0" encoding="utf-8"?>
<Properties xmlns="http://schemas.openxmlformats.org/officeDocument/2006/custom-properties" xmlns:vt="http://schemas.openxmlformats.org/officeDocument/2006/docPropsVTypes"/>
</file>