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(t.sk. bioekonomikā))" 1.2.1.2.i.1. pasākuma "Energoefektivitātes paaugstināšana uzņēmējdarbībā (ietverot pāreju uz atjaunojamo energoresursu tehnoloģiju izmantošanu siltumapgādē)"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(t.sk. bioekonomikā))" 1.2.1.2.1.i. apakšinvestīcijas "Energoefektivitātes paaugstināšana uzņēmējdarbībā (ietverot pāreju uz atjaunojamo energoresursu tehnoloģiju izmantošanu siltumapgādē)" īstenošanas noteikumi" (turpmāk – Noteikumu projekts) ietvaros tiks nodrošināts atbalsts energoefektivitātes paaugstināšanas pasākumu īstenošanai,  pārejai uz atjaunojamiem energoresursiem, bezemisiju transportlīdzekļu, kā arī autoiekrāvēju ar elektrodzinēju iegādei komersantiem, kuriem viena no darbības nozarēm ir apstrādes rūpniecība. Atbalsts tiks sniegts kombinētā finanšu instrumenta veidā, ko veido aizdevums un kapitāla atlaide aizdevuma pamatsummas daļējai dzēšanai.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ieguldījumus transporta un apstrādes rūpniecības sektorā, kas ir vieni no lielākajiem energoresursu patērētājiem. Veicinot pāreju uz atjaunojamiem energoresursiem, energoefektivitātes paaugstināšanas pasākumu īstenošanu un bezemisiju transportlīdzekļu iegādi, tiktu sekmēta Latvijā izvirzīto klimata mērķu sasniegšana - siltumnīcefekta gāzu emisiju samazināšana, enerģijas ietaupījuma nodrošināšana, kā arī tiktu veicināta Latvijas tautsaimniecības attīstība, nodrošinot darba vietas un vietējo būvmateriālu pieprasījums.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lielākie energoresursu patērētāji ir transporta nozare, mājsaimniecības un rūpniecība, līdz ar to ir svarīgi veicināt energoefektivitātes paaugstināšanas pasākumu īstenošanu šajās nozarēs. Šobrīd energoresursu cenu svārstības būtiski ietekmē kopējo ražošanas izmaksu apjomu apstrādes rūpniecībā, tādējādi energoresursu turpmāka sadārdzināšanās var ietekmēt vairākas tautsaimniecībā būtiskas nozares, piemēram, koksnes, metālu un pārtikas rūpniecību, kas veido lielāko daļu no kopējā apstrādes rūpniecības enerģijas patēriņa. Ņemot vērā apstrādes rūpniecības apakšnozaru specifiku, to enerģijas patēriņš arī ir ievērojami atšķirīgs, ņemot vērā ražošanas tehnoloģijas, procesus un nepieciešamās izejvielas un to apjomus, līdz ar to nepieciešams veicināt visas apstrādes rūpniecības energoefektivitātes līmeņa paaugstināšanu, veicinot pāreju uz atjaunojamiem energoresursiem, tajā skaitā arī iekāru nomaiņu uz energoefektīvākām.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mērķis atjaunojamās enerģijas īpatsvaram 2030. gadā ir par 25 % lielāks nekā 2020. gadā, nosakot, ka jānodrošina 50 % atjaunojamās enerģijas īpatsvars enerģijas galapatēriņā. Jau šobrīd apstrādes rūpniecības komersanti savas darbības nodrošināšanai izmanto atjaunojamos energoresursus (turpmāk – AER), piemēram, kurināmā koksne, koksnes atlikumi, tomēr šādu energoresursu īpatsvars ir salīdzinoši zems, tādējādi, lai nodrošinātu uzstādīto mērķu par AER īpatsvara palielināšanu sasniegšanu, nepieciešams sniegt atbalstu pārejai uz AER 1.2.1.2.i. investīcijas "Energoefektivitātes paaugstināšana uzņēmējdarbībā (ietverot pāreju uz atjaunojamo energoresursu tehnoloģiju izmantošanu siltumapgādē un pētniecības un attīstības aktivitātes (t.sk. bioekonomikā))" 1.2.1.2.1.i. apakšinvestīcijas "Energoefektivitātes paaugstināšana uzņēmējdarbībā (ietverot pāreju uz atjaunojamo energoresursu tehnoloģiju izmantošanu siltumapgādē)" (turpmāk - 1.2.1.2.1.i. apakšinvestīcija)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enerģijas galapatēriņa ietaupījumu mērķis 2021. - 2030. gada periodam ir 73,72 PJ (1,76 Mtoe). Lielāko devumu plānots sasniegt no kurināmā un elektroenerģijas ietaupījumiem rūpniecībā, otru lielāko devumu plānots sasniegt transporta sektorā, paredzot arī pāreju autotransportā no iekšdedzes dzinējiem uz elektriskajiem transportlīdzekļiem. Jāsecina, ka elektrisko transportlīdzekļu skaitam Latvijā ir tendence pieaugt – gada laikā no 2018. gada 1. aprīļa līdz 2019. gada 1. aprīlim to skaits ir palielinājies par vairāk nekā 40 %, bet joprojām  2021. gada 1. jūlijā Latvijā uzskaitē bija 2 476 elektriskie transportlīdzekļi, kas ir tikai 0,2 % no visiem Latvijā reģistrētajiem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no AER iegūtās enerģijas īpatsvars transportā - aptuveni 4 %, ko galvenokārt nodrošina biodegvielas obligātā piejaukuma prasība benzīnam un dīzeļdegvielai. Vidēji 1,5 % no AER iegūtās enerģijas īpatsvara veido elektroenerģija, kas galvenokārt tiek patērēta dzelzceļa transportā, tramvajos un trolejbusos, taču tās apjomam ir tendence samazināties. Siltumnīcefekta gāzu (turpmāk – SEG) emisiju bilancē transports veido 28,5 % īpatsvaru no kopējā Latvijas SEG emisiju apjoma, līdz ar to nepieciešams veikt ieguldījumus transportlīdzekļu iegādei, kuru SEG emisijas ir 0 g CO</w:t>
      </w:r>
      <w:r w:rsidR="00000000" w:rsidRPr="00000000" w:rsidDel="00000000">
        <w:rPr>
          <w:vertAlign w:val="subscript"/>
          <w:rtl w:val="0"/>
        </w:rPr>
        <w:t xml:space="preserve">2</w:t>
      </w:r>
      <w:r w:rsidR="00000000" w:rsidRPr="00000000" w:rsidDel="00000000">
        <w:rPr>
          <w:rtl w:val="0"/>
        </w:rPr>
        <w:t xml:space="preserve">/km. Bezemisiju transportlīdzekļu iegāde veicinās Eiropas Parlamenta un Padomes Direktīvas (ES) 2019/1161 (2019. gada 20. jūnijs), ar ko groza Direktīvu 2009/33/EK par “tīro” un energoefektīvo autotransporta līdzekļu izmantošanas veicināšanu īstenošanu Latvijā. 1.2.1.2.1.i. apakšinvestīcijas ietvaros piešķirot atbalstu bezemisiju transportlīdzekļu iegādei, tiktu veicināta nacionālo mērķu (līdz 2030. gadam)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naftas produktu patēriņa daļa transportā samazinās aptuveni par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enerģijas īpatsvars enerģijas bruto galapatēriņā transportā, kas ražota no AER - 7%,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SEG emisijas transporta sektorā samazinās par 1140 kt CO</w:t>
      </w:r>
      <w:r w:rsidR="00000000" w:rsidRPr="00000000" w:rsidDel="00000000">
        <w:rPr>
          <w:vertAlign w:val="subscript"/>
          <w:rtl w:val="0"/>
        </w:rPr>
        <w:t xml:space="preserve">2</w:t>
      </w:r>
      <w:r w:rsidR="00000000" w:rsidRPr="00000000" w:rsidDel="00000000">
        <w:rPr>
          <w:rtl w:val="0"/>
        </w:rPr>
        <w:t xml:space="preserve"> ekv..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energoefektivitātes paaugstināšanā, pārejai uz AER un bezemisiju transportlīdzekļu iegādi veicinās energoresursu racionālu izmantošanu, samazinot negatīvo ietekmi uz vidi un klimata pārmaiņām, veicinās virzību ilgtspējīgas un videi draudzīgas uzņēmējdarbības attīstības virzienā.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1.2.1.2.1.i. apakšinvestīcijas ietvaros plānots veikt ieguldījumus apstrādes rūpniecības un transporta sektorā, kas veicinās efektīvu energoresursu izmantošanu, enerģijas patēriņa samazināšanu, pāreju uz AER un bezemisiju transportlīdzekļu ieviešanu apstrādes rūpniecības nozarē. Tiks nodrošinātas darba vietas un vietējo būvmateriālu pieprasījums.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ir Latvijas Republikā reģistrēts sīkais (mikro), mazais, vidējais un lielais komersants, kuram viena no darbības nozarēm ir apstrādes rūpniecība (Saimniecisko darbību statistiskās klasifikācijas Eiropas Kopienā 2. redakcijas C sadaļa), vai energoefektivitātes pakalpojuma sniedzējs (ESKO), kas apstrādes rūpniecības komersantam sniedz energoefektivitātes pakalpojumus saskaņā ar energoefektivitātes pakalpojuma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1.2.1.2.1.i. apakšinvestīcijas ietvaros sasniedzami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2024. gada 31. decembrim apstiprināti projekti, kuru kopsumma ir vismaz 72 351 600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2026. gada 31. augustam aprēķinātais siltumnīcefekta gāzu samazinājums -13 115 CO</w:t>
      </w:r>
      <w:r w:rsidR="00000000" w:rsidRPr="00000000" w:rsidDel="00000000">
        <w:rPr>
          <w:vertAlign w:val="subscript"/>
          <w:rtl w:val="0"/>
        </w:rPr>
        <w:t xml:space="preserve">2</w:t>
      </w:r>
      <w:r w:rsidR="00000000" w:rsidRPr="00000000" w:rsidDel="00000000">
        <w:rPr>
          <w:rtl w:val="0"/>
        </w:rPr>
        <w:t xml:space="preserve"> ekvivalenta tonnas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šo noteiktumu ietvaros līdz 2026. gada 31. augustam atbalstu saņēmušajos komersantos kopējie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primārās enerģijas ietaupījums no energoefektivitātes pasākumiem atbalstu saņēmušiem komersantiem – 12 064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uzstādītā atjaunojamo energoresursu tehnoloģiju jauda – 90 MW.</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rīcības, kas identificētas Atveseļošanas un noturības mehānisma plāna (turpmāk – ANM) 1. pielikumā “Principa Nenodarīt būtisku kaitējumu novērtējums” ietvertajā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ietverti nosacījumi, lai nodrošinātu atbilstību 2018. gada 11. decembra  Eiropas Parlamenta un Padomes Direktīvai 2018/2001 par no atjaunojamajiem energoresursiem iegūtas enerģijas izmantošanas veicināšanu 29. pantā noteiktajiem nosacījumiem un, ja projektā ir paredzētas investīcijas iekārtās, kas nodrošinās siltumenerģijas vai elektroenerģijas ražošanu pašpatēriņam no atjaunojamiem energoresursiem – izmantojot šķeldu, tai jāatbilst siltumnīcefekta gāzu emisiju ietaupījumam 80%. Atbilstība minētajiem kritērijiem tiks pamatota Enerģētikas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Ražošanas tehnoloģiju energoefektivitātes uzlabošanas pasākumi, uzlabojot energoefektivitāti, neizraisīs negatīvu ietekmi uz pašreizējā klimata un gaidāmā nākotnes klimata radītajām negatīvajām ietekmēm uz pašu pasākumu, cilvēkiem, dabu vai aktīviem (t.sk. infrastruktūru), kā arī neradīs negatīvu ietekmi uz pielāgošanās klimata pārmaiņām mērķu sasniegšanu, jo veicot ražošanas tehnoloģiju nomaiņu, jāņem vērā klimata pārmaiņu radītos potenciālos riskus, novēršot to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Noteikumu projektā ietvertiem nosacījumiem, tiks mazinātas SEG emisijas, veicinot pāreju uz atjaunojamo energoresursu izmantošanu, iegādājoties bezemisiju transportlīdzekļus, tādējādi aizstājot esošos transportlīdzekļus, kas darbojas ar fosilās izcelsmes degvielu. 1.2.1.2.1.i. apakšinvestīcijas ietvaros iegādātie transportlīdzekļi aizstās līdz šim izmantotās transporta vienības. Aizstājamie transportlīdzekļi tiks utilizēti atbilstoši Eiropas Parlamenta un Padomes Direktīvas 2000/53/EK par nolietotiem transportlīdzekļiem prasībām, t.i. tie tiks nodoti apstrādes uzņēmumiem, kas nodrošina transportlīdzekļu pārstrādi un atkārtoti izmantojamo detaļu un materiālu atguvi un atgriešanu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 kā vairāki no prognozētajiem klimata pārmaiņu radītajiem riskiem būvniecībā ir saistīti ar nokrišņu intensitātes palielinājumu, ēku atjaunošana būs pieļaujama saskaņā ar prognozēto nokrišņu intensitātes palielinājumu, paredzot atbilstošus lietus notekūdens sistēmu risinājumus intensīvu nokrišņu gadījumiem, dodot priekšroku zaļās infrastruktūras elementiem, izmantojot dabā balstītus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 kā viens no prognozētajiem klimata pārmaiņu izraisītajiem riskiem būvniecībā Latvijā ir iekštelpu pārkaršana, Noteikumu projekts paredz atbilstošu telpu dzesēšanas un ventilācijas sistēmas risinājumu ieviešanu, lai nodrošinātu komforta temperatūru arī karstuma viļņu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Ēku konstrukciju risinājumos būs paredzēta atbilstoša hidroizolācija, lai samazinātu  ēku bojājumu iespēju gruntsūdeņu svārstību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1.2.1.2.1.i. apakšinvestīcija 100 % atbalsta klimata pārmaiņu mērķi - Noteikumu projektā tiek paredzēts atbalsts atjaunojamo energoresursu tehnoloģiju ieviešanai, kā arī ietverts nosacījums, ka biomasas tehnoloģiju ieviešanas gadījumā jānodrošina atbilstība 2018. gada 11. decembra Eiropas Parlamenta un Padomes Direktīvas (ES) 2018/2001 par no atjaunojamajiem energoresursiem iegūtas enerģijas izmantošanas veicināšanu 29. pantā noteiktajiem kritērijiem un izmantojot šķeldu, jānodrošina SEG emisiju ietaupījumam 80 %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Stratēģiski svarīgi projekti: Atveseļošanās un noturības mehānisma plānā 1.2.1.2.i. investīcijas projekti identificēta kā stratēģiski svarīgi projekti, kuriem nepieciešama pastiprināta komunikācija. Atbilstoši Atveseļošanas fonda plānā noteiktajam, tiks nodrošinātas koordinētas komunikācijas aktivitātes ar Eiropas Komisiju par šādām stratēģiski svarīgām aktivitātēm un projektiem: energoefektivitātes uzlabošana valsts sektora ēkās, t.sk. vēsturiskajās ēkās, dzīvojamajās ēkās un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 programmas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1.2.1.2.1.i. apakšinvestīcijas īstenošanu atbildīgā iestāde -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saņēmēji – Latvijas Republikā reģistrēti sīkie (mikro), mazie, vidējie vai lielie komersanti, kuru viena no darbības nozarēm ir apstrādes rūpniecība (Saimniecisko darbību statistiskās klasifikācijas Eiropas Kopienā 2. redakcijas C sadaļa), vai energoefektivitātes pakalpojuma sniedzējs (ESKO), kas apstrādes rūpniecības komersantam sniedz energoefektivitātes pakalpojumus saskaņā ar energoefektivitātes pakalpojuma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1.2.1.2.1.i. apakšinvestīcijai pieejamais Atveseļošanās fonda finansējums ir  80 586 000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veids – kombinētais finanšu instruments, kuru veido aizdevums un kapitāla atlaide aizdevuma pamatsummas daļējai dzēšanai, lai īstenotu projektu, kā arī finansējums neattiecināmo izmaksu segšanai. Īstenojot projektu un izpildot Noteikumu projektā noteiktos nosacījumus, pēc projekta pabeigšanas atbalsta saņēmējam tiek piešķirta kapitāla atlaide līdz 30 % no projekta īstenošanai piešķirtā aizdevuma attiecināmo izmaksu apjoma, bet ne vairāk kā 2 000 000 </w:t>
      </w:r>
      <w:r w:rsidR="00000000" w:rsidRPr="00000000" w:rsidDel="00000000">
        <w:rPr>
          <w:i w:val="1"/>
          <w:rtl w:val="0"/>
        </w:rPr>
        <w:t xml:space="preserve">euro.</w:t>
      </w:r>
      <w:r w:rsidR="00000000" w:rsidRPr="00000000" w:rsidDel="00000000">
        <w:rPr>
          <w:rtl w:val="0"/>
        </w:rPr>
        <w:t xml:space="preserve"> Sabiedrība "Altum" kapitāla atlaidi piemēro, pamatojoties uz sasniegtajiem rādītājiem projekta pabeigšanas rezultātā. Ja projekta ietvaros atbalsta saņēmējs nenodrošina noteikto rādītāju sasniegšanu, kapitāla atlaide netiek piemērota. Šāda pieeja motivē atbalsta saņēmēju īstenot kvalitatīvus projektus un sasniegt noteiktos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Atveseļošanās fonda finansējuma nav attiecināmas PVN izmaksas, tomēr atbalsta saņēmējam nepieciešams finansējums, lai segtu PVN, šīs izmaksas projektos tiks iekļautas kā neattiecināmās izmaksas, kas netiek iekļautas kapitāla atlaides aprēķinā. Arī neattiecināmo izmaksu finansēšanai atbalsta saņēmējs varēs pieteikties aizdevumam sabiedrībā "Altum". Šie aizdevumi tiks izsniegti no sabiedrības "Altum" ārpus šīs programmas piesaistītā finansējuma, kas nav saistīts ar Atveseļošanās fonda finansējumu, Eiropas Savienības struktūrfondu un Kohēzijas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lēmumus pieņem, balstoties uz sabiedrības “Altum” iekšēji izstrādāto un apstiprināto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var izmantot izmaksām, kas saistītas ar energoefektivitātes paaugstināšanu vai atjaunojamo energoresursu ieviešanu apstrādes rūpniecības komersantu pašpatēriņam, vai energoefektīvu iekārtu iegādi, vai bezemisiju transportlīdzekļu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1.2.1.2.1.i. apakšinvestīcijai pieejamais Atveseļošanās fonda finansējums ir 80 586 000 </w:t>
      </w:r>
      <w:r w:rsidR="00000000" w:rsidRPr="00000000" w:rsidDel="00000000">
        <w:rPr>
          <w:i w:val="1"/>
          <w:rtl w:val="0"/>
        </w:rPr>
        <w:t xml:space="preserve">euro</w:t>
      </w:r>
      <w:r w:rsidR="00000000" w:rsidRPr="00000000" w:rsidDel="00000000">
        <w:rPr>
          <w:rtl w:val="0"/>
        </w:rPr>
        <w:t xml:space="preserve">, kas ir sadalīts sīkākās vienībās, nosakot noteiktu finansējuma apmēru noteikto darbību īstenošanai. Līdz ar to ir noteikts finansējums 20 335 793 </w:t>
      </w:r>
      <w:r w:rsidR="00000000" w:rsidRPr="00000000" w:rsidDel="00000000">
        <w:rPr>
          <w:i w:val="1"/>
          <w:rtl w:val="0"/>
        </w:rPr>
        <w:t xml:space="preserve">euro</w:t>
      </w:r>
      <w:r w:rsidR="00000000" w:rsidRPr="00000000" w:rsidDel="00000000">
        <w:rPr>
          <w:rtl w:val="0"/>
        </w:rPr>
        <w:t xml:space="preserve"> apmērā energoefektivitātes paaugstināšanas pasākumu īstenošanai apstrādes rūpniecības nozarē strādājošā komersanta ēkās vai noliktavās.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Atbalsts energoefektivitātes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būvdarbu veikšana nedzīvojamās ēkas norobežojošajās konstrukcijās;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nedzīvojamās ēkas inženiersistēmu atjaunošanas, pārbūves vai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energoefektīvāku iekārtu iegādes izmaksas, lai aizstātu esošās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energoefektīva apgaismojuma uzstādīšanas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un ārējo individuālo un lokālo siltumtīklu un aukstumapgādes sistēmu rekonstrukcijas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autoruzraudzības un būvuzraudzības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būvlaukuma teritorijas sakārtošana;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pasākumi, ja tie ir nepieciešami energoefektivitātes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sabiedrība “Altum” individuāliem komersantiem, mikrouzņēmumiem, maziem, vidējiem un lieliem uzņēmumi, valsts un pašvaldības komercsabiedrības piedāvā saņemt grantu energoaudita veikšanai, izpētei un atbilstošai dokumentācijai, kas ļauj veikt investīcijas uzņēmumu energoefektivitātes uzlabojumiem, 1.2.1.2.1.i. apakšinvestīcijas ietvaros ēkas energosertifikāta, energoaudita, pārskata par ēkas energosertifikāta aprēķinos izmantotajām ievaddatu vērtībām sagatavošanas izmaksas tiek noteiktas kā neattiecināmās. Nepieciešamo dokumentāciju iespējams sagatavot grantu energoefektivitātes projektu izstrādes programmas ietvaros (skatīt https://www.altum.lv/lv/pakalpojumi/uznemumiem/grants-energoefektivitates-projektu-izstradei/par-programmu/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saņēmējam jānodrošina šādu kritēriju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primārās enerģijas ietaupījums vismaz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katriem kapitāla atlaides  1 000 </w:t>
      </w:r>
      <w:r w:rsidR="00000000" w:rsidRPr="00000000" w:rsidDel="00000000">
        <w:rPr>
          <w:i w:val="1"/>
          <w:rtl w:val="0"/>
        </w:rPr>
        <w:t xml:space="preserve">euro</w:t>
      </w:r>
      <w:r w:rsidR="00000000" w:rsidRPr="00000000" w:rsidDel="00000000">
        <w:rPr>
          <w:rtl w:val="0"/>
        </w:rPr>
        <w:t xml:space="preserve"> sasniegts SEG samazinājums gadā – 1 CO</w:t>
      </w:r>
      <w:r w:rsidR="00000000" w:rsidRPr="00000000" w:rsidDel="00000000">
        <w:rPr>
          <w:vertAlign w:val="subscript"/>
          <w:rtl w:val="0"/>
        </w:rPr>
        <w:t xml:space="preserve">2</w:t>
      </w:r>
      <w:r w:rsidR="00000000" w:rsidRPr="00000000" w:rsidDel="00000000">
        <w:rPr>
          <w:rtl w:val="0"/>
        </w:rPr>
        <w:t xml:space="preserve"> ekvivalenta tonnas;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katriem kapitāla atlaides  5 000 </w:t>
      </w:r>
      <w:r w:rsidR="00000000" w:rsidRPr="00000000" w:rsidDel="00000000">
        <w:rPr>
          <w:i w:val="1"/>
          <w:rtl w:val="0"/>
        </w:rPr>
        <w:t xml:space="preserve">euro</w:t>
      </w:r>
      <w:r w:rsidR="00000000" w:rsidRPr="00000000" w:rsidDel="00000000">
        <w:rPr>
          <w:rtl w:val="0"/>
        </w:rPr>
        <w:t xml:space="preserve"> sasniegts primārās enerģijas ietaupījums – 1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Iekārtu nomaiņu gadījumā jānodrošina 25 % primārās enerģijas ietaupījums.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Atbalstam atjaunojamo energoresursu tehnoloģiju ieviešanai</w:t>
      </w:r>
      <w:r w:rsidR="00000000" w:rsidRPr="00000000" w:rsidDel="00000000">
        <w:rPr>
          <w:rtl w:val="0"/>
        </w:rPr>
        <w:t xml:space="preserve"> pieejams Atveseļošanās fonda finansējums 32 838 546 </w:t>
      </w:r>
      <w:r w:rsidR="00000000" w:rsidRPr="00000000" w:rsidDel="00000000">
        <w:rPr>
          <w:i w:val="1"/>
          <w:rtl w:val="0"/>
        </w:rPr>
        <w:t xml:space="preserve">euro</w:t>
      </w:r>
      <w:r w:rsidR="00000000" w:rsidRPr="00000000" w:rsidDel="00000000">
        <w:rPr>
          <w:rtl w:val="0"/>
        </w:rPr>
        <w:t xml:space="preserve"> apmērā. Atbalstu piešķir šādām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saules elektroenerģiju ražojošo tehnoloģiju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vēja elektroenerģiju ražojošo tehnoloģiju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biomasas tehnoloģiju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atjaunojamo energoresursu tehnoloģijas, ir attiecināma iekārtu iegāde un uzstādīšana, iekārtu pieslēgumu izveide un ar iekārtu uzstādīšanu saistītās būvniecības izmaksas. Ir noteikts, ka pēc tehnoloģiju ieviešanas, saražotā enerģija jāizmanto atbalsta saņēmēja pašpatēriņam. Par pašpatēriņu uzskatām vismaz 90 % no saražotās enerģijas izmantošana pašpatēriņam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projekta īstenošanas, atbalsta saņēmējam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plānotais primārās neatjaunojamās enerģijas ietaupījums ir vismaz 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katriem kapitāla atlaides 5 634 </w:t>
      </w:r>
      <w:r w:rsidR="00000000" w:rsidRPr="00000000" w:rsidDel="00000000">
        <w:rPr>
          <w:i w:val="1"/>
          <w:rtl w:val="0"/>
        </w:rPr>
        <w:t xml:space="preserve">euro</w:t>
      </w:r>
      <w:r w:rsidR="00000000" w:rsidRPr="00000000" w:rsidDel="00000000">
        <w:rPr>
          <w:rtl w:val="0"/>
        </w:rPr>
        <w:t xml:space="preserve"> ir sasniegts siltumnīcefekta gāzu samazinājums gadā – 1.0 CO</w:t>
      </w:r>
      <w:r w:rsidR="00000000" w:rsidRPr="00000000" w:rsidDel="00000000">
        <w:rPr>
          <w:vertAlign w:val="subscript"/>
          <w:rtl w:val="0"/>
        </w:rPr>
        <w:t xml:space="preserve">2</w:t>
      </w:r>
      <w:r w:rsidR="00000000" w:rsidRPr="00000000" w:rsidDel="00000000">
        <w:rPr>
          <w:rtl w:val="0"/>
        </w:rPr>
        <w:t xml:space="preserve"> ekvivalenta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katriem kapitāla atlaides 500 </w:t>
      </w:r>
      <w:r w:rsidR="00000000" w:rsidRPr="00000000" w:rsidDel="00000000">
        <w:rPr>
          <w:i w:val="1"/>
          <w:rtl w:val="0"/>
        </w:rPr>
        <w:t xml:space="preserve">euro</w:t>
      </w:r>
      <w:r w:rsidR="00000000" w:rsidRPr="00000000" w:rsidDel="00000000">
        <w:rPr>
          <w:rtl w:val="0"/>
        </w:rPr>
        <w:t xml:space="preserve"> ir uzstādīta atjaunojamo energoresursu tehnoloģiju jauda – 1.0 KW.</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w:t>
      </w:r>
      <w:r w:rsidR="00000000" w:rsidRPr="00000000" w:rsidDel="00000000">
        <w:rPr>
          <w:u w:val="single"/>
          <w:rtl w:val="0"/>
        </w:rPr>
        <w:t xml:space="preserve">bezemisiju transportlīdzekļu un autoelektroiekrāvēju iegādei</w:t>
      </w:r>
      <w:r w:rsidR="00000000" w:rsidRPr="00000000" w:rsidDel="00000000">
        <w:rPr>
          <w:rtl w:val="0"/>
        </w:rPr>
        <w:t xml:space="preserve"> pieejams Atveseļošanās fonda finansējums 22 576 501 </w:t>
      </w:r>
      <w:r w:rsidR="00000000" w:rsidRPr="00000000" w:rsidDel="00000000">
        <w:rPr>
          <w:i w:val="1"/>
          <w:rtl w:val="0"/>
        </w:rPr>
        <w:t xml:space="preserve">euro</w:t>
      </w:r>
      <w:r w:rsidR="00000000" w:rsidRPr="00000000" w:rsidDel="00000000">
        <w:rPr>
          <w:rtl w:val="0"/>
        </w:rPr>
        <w:t xml:space="preserve"> apmērā. Atbalstu piešķir jaunu transportlīdzekļu (M1 un N kategorijas atbilstoši automobiļu klasifikatoram) iegādei, kas pēc savas konstrukcijas par vienīgo mehānisko dzinējspēku izmanto enerģiju no transportlīdzeklī glabātās elektroenerģijas un, kuru siltumnīcefekta gāzu emisijas ir 0 g CO</w:t>
      </w:r>
      <w:r w:rsidR="00000000" w:rsidRPr="00000000" w:rsidDel="00000000">
        <w:rPr>
          <w:vertAlign w:val="subscript"/>
          <w:rtl w:val="0"/>
        </w:rPr>
        <w:t xml:space="preserve">2</w:t>
      </w:r>
      <w:r w:rsidR="00000000" w:rsidRPr="00000000" w:rsidDel="00000000">
        <w:rPr>
          <w:rtl w:val="0"/>
        </w:rPr>
        <w:t xml:space="preserve">/km. Ar jaunu elektromobili saprot automobili, kas iepriekš nav ticis reģistrēts Latvijas Republikā un, kura odometra rādījums reģistrācijas brīdī nepārsniedz 500 km. Maksimāli pieļaujamā kapitāla atlaide viena transportlīdzekļa iegādei ir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(ES) Nr. 678/2011 ( 2011. gada 14. jūlijs ), ar kuru aizstāj II pielikumu un groza IV, IX un XI pielikumu Eiropas Parlamenta un Padomes Direktīvā 2007/46/EK, ar ko izveido sistēmu mehānisko transportlīdzekļu un to piekabju, kā arī tādiem transportlīdzekļiem paredzētu sistēmu, sastāvdaļu un atsevišķu tehnisku vienību apstiprināšanai (pamatdirektīva), A daļā definēti transportlīdzekļu klasificēšanas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M1 kategorijas transportlīdzekļiem papildus transportlīdzekļa vadītāja sēdvietai ir ne vairāk kā astoņas sēdvietas, nav vietas stāvošu pasažieru pārvadāšanai, kā arī sēdvietu skaits var būt ierobežots līdz vienai (t. i., transportlīdzekļa vadītāja) sēdvietai.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kategorijā ietilpst transportlīdzekļi, kas projektēti un būvēti galvenokārt kravu pārvadāšanai: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N1 kategorijas transportlīdzekļi, kuru maksimālā masa nepārsniedz 3,5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N2 kategorijas transportlīdzekļi, kuru maksimālā masa pārsniedz 3,5 tonnas, bet nepārsniedz 12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N3 kategorijas transportlīdzekļi, kuru maksimālā masa pārsniedz 12 tonnas.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iegādātos jaunu elektromobili, atbalsta saņēmējs noraksta savā īpašumā esošu lietotu M1 un N kategorijas (atbilstoši automobiļu klasifikatoram) transportlīdzekli, kas ir vismaz pēdējos trīs gadus reģistrēts Latvijas Republikā, ar derīgu tehniskās apskates uzlīmi, nododot to apstrādes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atbalsta saņēmējs nodrošina, ka uz katriem kapitāla atlaides 4 500</w:t>
      </w:r>
      <w:r w:rsidR="00000000" w:rsidRPr="00000000" w:rsidDel="00000000">
        <w:rPr>
          <w:i w:val="1"/>
          <w:rtl w:val="0"/>
        </w:rPr>
        <w:t xml:space="preserve"> euro</w:t>
      </w:r>
      <w:r w:rsidR="00000000" w:rsidRPr="00000000" w:rsidDel="00000000">
        <w:rPr>
          <w:rtl w:val="0"/>
        </w:rPr>
        <w:t xml:space="preserve"> ir sasniegts siltumnīcefekta gāzu samazinājums gadā – 1.0 CO</w:t>
      </w:r>
      <w:r w:rsidR="00000000" w:rsidRPr="00000000" w:rsidDel="00000000">
        <w:rPr>
          <w:vertAlign w:val="subscript"/>
          <w:rtl w:val="0"/>
        </w:rPr>
        <w:t xml:space="preserve">2</w:t>
      </w:r>
      <w:r w:rsidR="00000000" w:rsidRPr="00000000" w:rsidDel="00000000">
        <w:rPr>
          <w:rtl w:val="0"/>
        </w:rPr>
        <w:t xml:space="preserve"> ekvivalenta tonnas.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apstrādes rūpniecības komersantam iespējams iegādāties jaunus autoelektroiekrāvējus, kas pēc savas konstrukcijas par mehānisko dzinējspēku izmanto elektroenerģijas un, kuru siltumnīcefekta gāzu emisijas ir 0 g CO</w:t>
      </w:r>
      <w:r w:rsidR="00000000" w:rsidRPr="00000000" w:rsidDel="00000000">
        <w:rPr>
          <w:vertAlign w:val="subscript"/>
          <w:rtl w:val="0"/>
        </w:rPr>
        <w:t xml:space="preserve">2</w:t>
      </w:r>
      <w:r w:rsidR="00000000" w:rsidRPr="00000000" w:rsidDel="00000000">
        <w:rPr>
          <w:rtl w:val="0"/>
        </w:rPr>
        <w:t xml:space="preserve">/km. Atbilstoši Eiropas Parlamenta un Padomes Direktīvas 2006/42/EK (2006. gada 17. maijs) par mašīnām, un ar kuru groza Direktīvu 95/16/EK (pārstrādāšana) 2. panta definīcijai, mašīna ir īpaša lietojuma nolūkā savienoto detaļu vai sastāvdaļu, no kurām vismaz viena kustas, kopums, kas aprīkots vai ko paredzēts aprīkot ar tādu piedziņas sistēmu, kurā netiek tieši pielietots cilvēka vai dzīvnieka spēks. Autoelektroiekrāvējs netiek definēts kā transportlīdzeklis, bet gan mašīna, līdz ar to uz to netiek attiecinātas prasības kā tas ir iegādājoties elektromobili.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Atbalsts energoefektivitātes pakalpojuma (ESKO)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piešķir ieguldījumu veikšanai ESKO klientos, Latvijas Republikā reģistrētos apstrādes rūpniecības komersantos. Projekta izmaksas ir attiecināmas, ja ESKO ir noslēgusi energoservisa pakalpojuma līgumu un ir noformējusi īpašumtiesības uz iekārtām, kuras projekta ietvaros plānots uzstādīt atbilstoši energoservisa pakalpojuma līguma nosacījumiem. ESKO iespējams īstenot energoefektivitātes paaugstināšanas pasākumus, tajā skaitā energoefektīvu iekārtu iegādi, atjaunojamo energoresursu ieviešanu apstrādes rūpniecības komersantu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sabiedrībai “Altum” ir jāsniedz ikgadējais ziņojums Būvniecības valsts kontroles birojam par energoefektivitātes mērķu sasniegšanu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piešķiršanas, izmaksas kārtība un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apstrādes rūpniecības komersants vai ESKO, piesakoties sabiedrības “Altum” aizdevumam un kapitāla atlaides rezervēšanai, sabiedrībā "Altum" iesniedz pieteikumu atbalsta rezervēšanai, informāciju par iepriekš saņemto atbalstu ieguldījumu projektiem un saņemto de minimis atbalstu. Jau sākotnēji sagatavojot sākotnējo ēkas energoefektivitātes novērtējumu, atbalsta saņēmējs savlaicīgi identificē nepieciešamos veicamos pasākumus ēkā un to īstenošanai nepieciešamā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apstrādes rūpniecības komersants plāno īstenot energoefektivitātes paaugstināšanas pasākumus un atjaunojamo energoresursu tehnoloģiju ieviešanu, tad sīkais (mikro), mazais vai vidējais komersants papildus iesniedz ēkas energosertifikātu (ja nav iesniegts Būvniecības informācijas sistēmā (turpmāk- BIS)), ko izstrādājis neatkarīgs eksperts ēku energoefektivitātes jomā un energosertifikātam pievieno neatkarīga eksperta ēku energoefektivitātes jomā izstrādātu pārskatu. Savukārt, ja sīkais (mikro), mazais vai vidējais komersants  atbilst lielā elektroenerģijas patērētājam nosacījumiem saskaņā ar Energoefektivitātes likuma 12. panta pirmās daļas nosacījumiem, iesniedz apliecinājumu par rūpnieciskā energoaudita, kurš reģistrēts BIS Energopārskatu reģistrā, vai par energopārvaldības sistēmas ieviešanu. Lielais komersants, kas atbilst Energoefektivitātes likuma 10. panta pirmās daļas nosacījumiem, iesniedz apliecinājumu par rūpnieciskā energoaudita, kurš reģistrēts BIS Energopārskatu reģistrā, vai energopārvaldības sistēmas, vai par vides pārvaldības sistēmas ar papildinājumu ieviešanu. Savukārt sabiedrība “Altum” par iesniegto apliecinājumu korektumu un nosacījumu izpildi pārliecinās Būvniecības valsts kontroles birojā.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apstrādes rūpniecības komersants plāno veikt elektromobiļa iegādi, papildus sabiedrībā "Altum" iesniedz plānoto elektromobiļu raksturojumu atbilstoši šo noteikumu 1. 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pārbauda iesniegtos dokumentus un pieņem sākotnējo atzinumu par atbalsta rezervēšanu projekta īstenošanai un kapitāla atlaides iespējamo maksimālo apmēru, un informē par to atbalsta saņēmēju. Atbalsta saņēmējam ir pienākums 6 mēnešu laikā no lēmuma pieņemšanas dienas noslēgt līgumu ar sabiedrību "Altum" par aizdevuma saņemšanu projekta īstenošanai. Līgumu slēdz ne vēlāk kā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atbalsta saņēmēja veikto darbību īstenošanas, sabiedrība "Altum" pieņem lēmumu par kapitāla atlaides attiecināšanu, ņemot vērā maksimālo kapitāla atlaides apjomu un faktisko veikto projekta attiecināmo izmaksu apjomu, un pamatojoties uz iesniegtajiem dokumentiem. Ja tika veikti energoefektivitātes paaugstināšanas pasākumi, atbalsta saņēmējs iesniedz ēkas pagaidu energosertifikātu un pārskatu par pasākuma ietvaros sasniegtajiem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saņēmējs ir iegādāts bezemisiju transportlīdzekli, autoiekrāvēju ar elektrodzinēju, sabiedrībā "Altum" iesniedz pirkuma līgumu un apmaksas dokumentus par elektromobiļa un autoiekrāvēja iegādi. Iegādājoties elektromobili, sabiedrībā "Altum" iesniedz arī pārskatu ar iegādātā un norakstāmā transportlīdzekļa raksturojumu saskaņā ar šo noteikumu 2.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Ekonomikas ministrijas un sabiedrības “Altum”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ar sabiedrību “Altum” slēgs savstarpēju līgumu par sadarbību un 1.2.1.2.1.i. apakšinvestīcijas ieviešanas koordinēšanu – par finansējuma izlietošanu, ieviešanu, uzraudzības funkciju veikšanu un piešķiršanas kārtību, kā arī par savstarpēju informācijas apmaiņu, t.sk. atrunājot termiņus datu ievadei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līguma ietvaros Ekonomikas ministrijai tiks nodrošināta piekļuve izdevumu un rādītāju sasniegšanas pamatojošajai dokumentācijai.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1.2.1.2.1.i. apakšinvestīcijas ieviešanas modelim izvērtēti dažādi alternatīvi risinājumi, ņemot vērā Darbības programmas "Izaugsme un nodarbinātība" 4.1.1. specifiskā atbalsta mērķa "Veicināt efektīvu energoresursu izmantošanu, enerģijas patēriņa samazināšanu un pāreju uz AER apstrādes rūpniecības nozarē" iesniegtos un īstenojot projektus.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Apstrādes rūpniecības, ESKO, transporta un būvniecības nozares (t.sk. būvniecības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sniegts apstrādes rūpniecības komersantiem, kā arī ESKO, lai nodrošinātu apstrādes rūpniecības komersantu energoefektivitātes paaugstināšanas pasākumu īstenošanu, atjaunojamo energoresursu tehnoloģiju ieviešanu. Ņemot vērā, ka apstrādes rūpniecības komersantam ir iespējams veikt elektriskā transportlīdzekļa iegādi, norakstot savu lietoto auto, tiks radīta pozitīva ietekme uz transporta nozari.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vietējo būvmateriālu pieprasījums.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nodrošinātas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12 087 900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28 205 100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32 234 400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12 087 900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28 205 100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32 234 400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12 087 900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28 205 100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32 234 400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12 087 900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28 205 100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32 234 400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-12 087 900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-28 205 100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-32 234 400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1.2.1.2.1.i. apakšinvestīcijai plānotais pieejamais finansējums ir 80 586 000 </w:t>
            </w:r>
            <w:r w:rsidR="00000000" w:rsidRPr="00000000" w:rsidDel="00000000">
              <w:rPr>
                <w:sz w:val="24"/>
                <w:i w:val="1"/>
                <w:rtl w:val="0"/>
              </w:rPr>
              <w:t xml:space="preserve">euro</w:t>
            </w:r>
            <w:r w:rsidR="00000000" w:rsidRPr="00000000" w:rsidDel="00000000">
              <w:rPr>
                <w:sz w:val="24"/>
                <w:rtl w:val="0"/>
              </w:rPr>
              <w:t xml:space="preserve">, ko 100 % apmērā veido Atveseļošanās fonda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pieteikšanās uz 1.2.1.2.1.i. apakšinvestīcijai pieejamo finansējumu būtu iespējama 2022. gadā. Ņemot vērā, ka Noteikumu projekts paredz arī atbalstāmās darbības, kuru īstenošanai nav nepieciešams ilgs laiks, finansējuma apguve tiek plānota jau pirmajā gadā, t.i. 2022. gadā 15 % apmērā no pieejamā finansējuma, kas būtu 12 087 900 </w:t>
            </w:r>
            <w:r w:rsidR="00000000" w:rsidRPr="00000000" w:rsidDel="00000000">
              <w:rPr>
                <w:sz w:val="24"/>
                <w:i w:val="1"/>
                <w:rtl w:val="0"/>
              </w:rPr>
              <w:t xml:space="preserve">euro</w:t>
            </w:r>
            <w:r w:rsidR="00000000" w:rsidRPr="00000000" w:rsidDel="00000000">
              <w:rPr>
                <w:sz w:val="24"/>
                <w:rtl w:val="0"/>
              </w:rPr>
              <w:t xml:space="preserve">. 2023. gadā tiek paredzēta finansējuma apguve 35 % apmērā no kopējā finansējuma, t.i. 28 205 100 </w:t>
            </w:r>
            <w:r w:rsidR="00000000" w:rsidRPr="00000000" w:rsidDel="00000000">
              <w:rPr>
                <w:sz w:val="24"/>
                <w:i w:val="1"/>
                <w:rtl w:val="0"/>
              </w:rPr>
              <w:t xml:space="preserve">euro</w:t>
            </w:r>
            <w:r w:rsidR="00000000" w:rsidRPr="00000000" w:rsidDel="00000000">
              <w:rPr>
                <w:sz w:val="24"/>
                <w:rtl w:val="0"/>
              </w:rPr>
              <w:t xml:space="preserve">. Savukārt vislielākā aktivitāte un apguve plānota 2024. gadā 35 % apmērā, nodrošinot finansējuma apguvi 32 234 400 </w:t>
            </w:r>
            <w:r w:rsidR="00000000" w:rsidRPr="00000000" w:rsidDel="00000000">
              <w:rPr>
                <w:sz w:val="24"/>
                <w:i w:val="1"/>
                <w:rtl w:val="0"/>
              </w:rPr>
              <w:t xml:space="preserve">euro</w:t>
            </w:r>
            <w:r w:rsidR="00000000" w:rsidRPr="00000000" w:rsidDel="00000000">
              <w:rPr>
                <w:sz w:val="24"/>
                <w:rtl w:val="0"/>
              </w:rPr>
              <w:t xml:space="preserve"> apmērā.  2024. gadā plānotais finansējums – 10 % no kopējā finansējuma, t.i. 8 058 600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1.2.1.2.1.i. apakšinvestīcijas izdevumu attiecināmības termiņš ir līdz 2026. gada 31.augustam.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Ekonomikas ministrija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23.5., 94.2.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 9., 10. un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 62.1., 63.1.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panta 4., 5.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35., 72.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73., 75.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37.3., 62.2.3.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69.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panta 7., 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47., 74., 75.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panta 6., 7.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Regulu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46., 72., 74. punkts, 81.1.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1.2.1.1.i. investīciju tiks sekmēta viena no Nacionālā attīstības plāna mērķu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1.2.1.2.1.i. apakšinvestīcijas ietvaros līdz 2026. gada 31. augustam primārās enerģijas ietaupījums no energoefektivitātes pasākumiem atbalstu saņēmušiem komersantiem – 12 064 MWh/gadā, uzstādītā atjaunojamo energoresursu tehnoloģiju jauda – 90 MW, siltumnīcefekta gāzu samazinājums - 13 115 CO</w:t>
      </w:r>
      <w:r w:rsidR="00000000" w:rsidRPr="00000000" w:rsidDel="00000000">
        <w:rPr>
          <w:vertAlign w:val="subscript"/>
          <w:rtl w:val="0"/>
        </w:rPr>
        <w:t xml:space="preserve">2</w:t>
      </w:r>
      <w:r w:rsidR="00000000" w:rsidRPr="00000000" w:rsidDel="00000000">
        <w:rPr>
          <w:rtl w:val="0"/>
        </w:rPr>
        <w:t xml:space="preserve"> ekvivalenta tonnas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21-TA-1737</w:t>
    </w:r>
    <w:r>
      <w:br/>
    </w:r>
    <w:r w:rsidR="00000000" w:rsidRPr="00000000" w:rsidDel="00000000">
      <w:rPr>
        <w:rtl w:val="0"/>
      </w:rPr>
      <w:t xml:space="preserve">Izdrukāts 30.07.2026. 00.13 - 2.0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21-TA-1737</w:t>
    </w:r>
    <w:r>
      <w:br/>
    </w:r>
    <w:r w:rsidR="00000000" w:rsidRPr="00000000" w:rsidDel="00000000">
      <w:rPr>
        <w:rtl w:val="0"/>
      </w:rPr>
      <w:t xml:space="preserve">Izdrukāts 30.07.2026. 00.13 - 2.0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anotācija_(ex_ante)_21-TA-1737.docx</dc:title>
</cp:coreProperties>
</file>

<file path=docProps/custom.xml><?xml version="1.0" encoding="utf-8"?>
<Properties xmlns="http://schemas.openxmlformats.org/officeDocument/2006/custom-properties" xmlns:vt="http://schemas.openxmlformats.org/officeDocument/2006/docPropsVTypes"/>
</file>