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īpaši aizsargājamām dabas teritorijām"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pret Latviju ierosinātās pārkāpumu procedūras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īpaši aizsargājamām dabas teritorijām"" sagatavots,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novērstu Eiropas Komisijas ierosinātās pārkāpuma procedūras par Padomes 21.05.1992. Direktīvas 92/43/EEK par dabisko dzīvotņu, savvaļas faunas un floras aizsardzību saistību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noteiktu ierobežojumus dižkoku iznīcināšanas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precizētu kompetenci administratīvo pārkāpumu procesā par pārkāpumiem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precizētu atvasinātas publiskās personas "Nacionālais botāniskais dārzs"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(turpmāk – Latvija) ir saņēmusi: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(turpmāk - EK) 2019. gada 27. novembra formālo paziņojumu pārkāpuma procedūras lietā Nr. 2019/2304 (turpmāk - pārkāpumu procedūra Nr.2019/2304), kurā norādīts, ka  Latvija nav izpildījusi pienākumus saskaņā ar Padomes 21.05.1992. Direktīvas 92/43/EEK par dabisko dzīvotņu, savvaļas faunas un floras aizsardzību (turpmāk - Biotopu direktīva) 3. panta 2. punktu un 4. panta 1. punktu, jo tā nav iesniegusi izsmeļošu ierosināto Kopienā nozīmīgo teritoriju sarakstu un nav par katru ierosināto teritoriju norādījusi visu vajadzīgo informāciju, secīgi Latvijas KNT tīkls nav pietiekams attiecībā uz septiņiem biotopu veidiem un trīs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 2021. gada 9. jūnija  argumentēto atzinumu pārkāpuma procedūras lietā Nr. 2020/2209 (turpmāk - pārkāpumu procedūra Nr.2020/2209), kurā norādīts, ka Latvija nav izpildījusi pienākumus saskaņā ar Biotopu direktīvas 4. panta 4. punktu un 6. pantu - nav pienācīgi noteikusi nevienu no Kopienā nozīmīgām teritorijām (Natura 2000 teritorijām) kā īpaši aizsargājamu dabas teritoriju, nav noteikusi teritorijai specifiskus saglabāšanas mērķus un nav noteikusi vajadzīgos saglabāšanas pasākumus, kas atbilst katrā teritorijā sastopamo Biotopu direktīvas I pielikuma dabisko dzīvotņu veidu un II pielikuma sugu ekoloģiskajām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Formālajā paziņojumā pārkāpuma procedūras lietā Nr. 2019/2304 norādīts, ka Latvija nav iesniegusi izsmeļošu ierosināto Kopienā nozīmīgo teritoriju (Natura 2000 teritpriju) sarakstu un nav par katru ierosināto teritoriju norādījusi visu vajadzīgo informāciju, secīgi, Natura 2000 tīkls nav pietiekams attiecībā uz septiņiem biotopu veidiem un trīs sugām, tajā skaitā prioritārajam ES nozīmes biotopam Staignāju meži (9080*) un sugām lapkoku praulgrauzis </w:t>
      </w:r>
      <w:r w:rsidR="00000000" w:rsidRPr="00000000" w:rsidDel="00000000">
        <w:rPr>
          <w:i w:val="1"/>
          <w:rtl w:val="0"/>
        </w:rPr>
        <w:t xml:space="preserve">Osmoderma barnabita </w:t>
      </w:r>
      <w:r w:rsidR="00000000" w:rsidRPr="00000000" w:rsidDel="00000000">
        <w:rPr>
          <w:rtl w:val="0"/>
        </w:rPr>
        <w:t xml:space="preserve">un Eiropas platausis </w:t>
      </w:r>
      <w:r w:rsidR="00000000" w:rsidRPr="00000000" w:rsidDel="00000000">
        <w:rPr>
          <w:i w:val="1"/>
          <w:rtl w:val="0"/>
        </w:rPr>
        <w:t xml:space="preserve">Barbastella barbastellus</w:t>
      </w:r>
      <w:r w:rsidR="00000000" w:rsidRPr="00000000" w:rsidDel="00000000">
        <w:rPr>
          <w:rtl w:val="0"/>
        </w:rPr>
        <w:t xml:space="preserve">. Latvija savā nostājā (apstiprināta Ministru kabinetā  2020. gada 21. janvārī) apņēmās noteikt jaunas īpaši aizsargājamas dabas teritorijas (turpmāk - ĪADT) biotopa Staignāju meži (9080*) un  sugām lapkoku praulgrauzis </w:t>
      </w:r>
      <w:r w:rsidR="00000000" w:rsidRPr="00000000" w:rsidDel="00000000">
        <w:rPr>
          <w:i w:val="1"/>
          <w:rtl w:val="0"/>
        </w:rPr>
        <w:t xml:space="preserve">Osmoderma barnabita </w:t>
      </w:r>
      <w:r w:rsidR="00000000" w:rsidRPr="00000000" w:rsidDel="00000000">
        <w:rPr>
          <w:rtl w:val="0"/>
        </w:rPr>
        <w:t xml:space="preserve">un Eiropas platausis </w:t>
      </w:r>
      <w:r w:rsidR="00000000" w:rsidRPr="00000000" w:rsidDel="00000000">
        <w:rPr>
          <w:i w:val="1"/>
          <w:rtl w:val="0"/>
        </w:rPr>
        <w:t xml:space="preserve">Barbastella barbastellus </w:t>
      </w:r>
      <w:r w:rsidR="00000000" w:rsidRPr="00000000" w:rsidDel="00000000">
        <w:rPr>
          <w:rtl w:val="0"/>
        </w:rPr>
        <w:t xml:space="preserve">aizsardzībai un iekļaut tās Natura 2000 teritoriju tīklā, veicot grozījumus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Natura 2000 teritorijas tiek noteiktas atbilstoši Ministru kabineta 2002. gada 28. maija noteikumos Nr. 199 “Eiropas nozīmes aizsargājamo dabas teritoriju (Natura 2000) izveidošanas kritēriji Latvijā” noteiktajiem kritērijiem, tajā skaitā, tai jābūt noteiktai normatīvajos aktos noteiktajā kārtībā par valsts nozīmes īpaši aizsargājamo dabas teritoriju vai mikroliegumu.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īpaši aizsargājamām dabas teritorijām"" (turpmāk - Likumprojekts) paredz papildināt Likuma Pielikumu "Latvijas Natura 2000 — Eiropas nozīmes aizsargājamo dabas teritoriju saraksts" (turpmāk - Pielikums) ar 94 jaunām Natura 2000 teritorijām. Pielikums tiek papildinātas ar 74 dabas liegumiem, kas izveidoti biotopa Staignāju meži (9080*) aizsardzībai ar Ministru kabineta 2023. gada 21. novembra noteikumiem Nr. 674 "Noteikumi par dabas liegumiem".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Natura 2000 teritoriju tīkla pabeigšanu attiecībā uz sugu lapkoku praulgrauzis </w:t>
      </w:r>
      <w:r w:rsidR="00000000" w:rsidRPr="00000000" w:rsidDel="00000000">
        <w:rPr>
          <w:i w:val="1"/>
          <w:rtl w:val="0"/>
        </w:rPr>
        <w:t xml:space="preserve">Osmoderma barnabita </w:t>
      </w:r>
      <w:r w:rsidR="00000000" w:rsidRPr="00000000" w:rsidDel="00000000">
        <w:rPr>
          <w:rtl w:val="0"/>
        </w:rPr>
        <w:t xml:space="preserve">Likuma Pielikums tiek papildināts ar 19 dabas pieminekļiem - 11 aizsargājamām alejām, kas izveidotas ar MK 2023.gada 28.marta noteikumiem Nr.143 "Noteikumi par aizsargājamām alejām", un astoņiem aizsargājamiem dendroloģiskajiem stādījumiem, kas izveidoti ar MK 2023. gada 28. marta noteikumiem Nr.144 "Noteikumi par aizsargājamiem dendroloģiskajiem stādījumiem".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sugas Eiropas platausis </w:t>
      </w:r>
      <w:r w:rsidR="00000000" w:rsidRPr="00000000" w:rsidDel="00000000">
        <w:rPr>
          <w:i w:val="1"/>
          <w:rtl w:val="0"/>
        </w:rPr>
        <w:t xml:space="preserve">Barbastella barbastellus</w:t>
      </w:r>
      <w:r w:rsidR="00000000" w:rsidRPr="00000000" w:rsidDel="00000000">
        <w:rPr>
          <w:rtl w:val="0"/>
        </w:rPr>
        <w:t xml:space="preserve"> aizsardzību, ar Ministru kabineta 2024. gada 26. novembra noteikumiem Nr. 749 "Noteikumi par aizsargājamo ainavu apvidiem" ir izveidots aizsargājamo ainavu apvidus "Koknese - Odziena" un tiek iekļauts Likuma Pielikumā. Tāpat sugas Eiropas platausis </w:t>
      </w:r>
      <w:r w:rsidR="00000000" w:rsidRPr="00000000" w:rsidDel="00000000">
        <w:rPr>
          <w:i w:val="1"/>
          <w:rtl w:val="0"/>
        </w:rPr>
        <w:t xml:space="preserve">Barbastella barbastellus</w:t>
      </w:r>
      <w:r w:rsidR="00000000" w:rsidRPr="00000000" w:rsidDel="00000000">
        <w:rPr>
          <w:rtl w:val="0"/>
        </w:rPr>
        <w:t xml:space="preserve"> aizsardzībai Likuma Pielikumā tiek iekļauts dabas piemineklis - aizsargājamie dendroloģiskie stādījumi "Kokneses parks".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tīklā iekļautajās teritorijās (tāpat kā līdz Natura 2000 statusa noteikšanai) ir spēkā attiecīgajai ĪADT kategorijai MK 2010. gada 16. marta noteikumos Nr. 264 "Īpaši aizsargājamo dabas teritoriju vispārējie aizsardzības un izmantošanas noteikumi" (turpmāk - noteikumi Nr. 264) noteiktās  prasības - dabas liegumiem un dabas pieminekļiem noteiktās prasības. Savukārt aizsargājamo ainavu apvidus "Koknese-Odziena" aizsardzības un izmantošanas prasības noteic Ministru kabineta 2024. gada 26. novembra noteikumiem Nr. 750 "Aizsargājamo ainavu apvidus "Koknese-Odziena" individuālie aizsardzības un izmantošanas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Natura 2000 teritorijām attiecas Likuma 43. un 44.pants.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Argumentētajā atzinumā pārkāpumu procedūras lietā Nr. 2020/2209 norādīts, ka Latvija nav noteikusi Natura 2000 teritorijām specifiskus saglabāšanas mērķus un nav noteikusi vajadzīgos saglabāšanas pasākumus, kas atbilst katrā teritorijā sastopamo Biotopu direktīvas I pielikuma dabisko dzīvotņu (biotopu) veidu un II pielikuma sugu ekoloģiskajām prasībām. Kā norādīts argumentētatajā atzinumā šāda prasība izriet no Biotopu direktīvas  4. panta 4. punkta interpretācijas, balstoties uz tā formulējumu, kontekstu un ņemot vērā Biotopu direktīvas mērķi. Latvija savā nostājā (apstiprināta Ministru kabinetā  2021. gada 10. augustā) daļēji atzina norādītos pārkāpumus un apņēmās noteikt aizsardzības mērķus visām Natura 2000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43. pantu ar 3.</w:t>
      </w:r>
      <w:r w:rsidR="00000000" w:rsidRPr="00000000" w:rsidDel="00000000">
        <w:rPr>
          <w:vertAlign w:val="superscript"/>
          <w:rtl w:val="0"/>
        </w:rPr>
        <w:t xml:space="preserve">1</w:t>
      </w:r>
      <w:r w:rsidR="00000000" w:rsidRPr="00000000" w:rsidDel="00000000">
        <w:rPr>
          <w:rtl w:val="0"/>
        </w:rPr>
        <w:t xml:space="preserve"> daļu, nosakot, ka Dabas aizsardzības pārvalde nosaka katras Eiropas nozīmes aizsargājamās dabas teritorijas (Natura 2000) aizsardzības mērķus, balstoties uz tās izveidošanas mērķi un ņemot vērā biotopu un sugu ekoloģiskās prasības un Eiropas Savienības nozīmes biotopu un sugu aizsardzības stāvokli. Atbilstoši Likuma  31. panta trešajai daļai Aizsargājamo teritoriju valsts reģistrā (ietverts dabas datu pārvaldības sistēmā) tiek norādīti aizsargājamo teritoriju izveidošanas un aizsardzības mērķi un uzdevumi. Atbilstoši likuma deleģējumam Ministru kabineta 2014. gada 9. jūnijā noteikumu Nr. 293 “Dabas datu pārvaldības sistēmas uzturēšanas, datu aktualizācijas un informācijas aprites kārtība” (turpmāk noteikumi Nr. 239) 6. punkts noteic, ka sistēmā par aizsargājamām teritorijām, izņemot aizsargājamos kokus un akmeņus, cita starpā uztur šādus datus: izveidošanas un aizsardzības mērķis un uzdevumi. Tādējādi arī Natura 2000 teritorijas izveidošanas un aizsardzības mērķi jāreģistrē dabas datu pārvaldības sistēmā. Lai nepārprotami norādītu, ka Aizsargājamo teritoriju valsts reģistrā tiek reģistrēti Natura 2000 teritoriju izveidošanas un aizsardzības mērķi,  31. pants tiek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Natura 2000 izveidošanas mērķi ir noteikti Likuma Pielikumā, proti ir uzskaitīti tie Biotopu direktīvas I pielikuma dabisko dzīvotņu (biotopu) veidi un II pielikuma sugas, kuru aizsardzībai konkrētā Natura 2000 teritorija ir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šo biotopu un sugu labvēlīgu aizsardzības stāvokli valsts mērogā, </w:t>
      </w:r>
      <w:r w:rsidR="00000000" w:rsidRPr="00000000" w:rsidDel="00000000">
        <w:rPr>
          <w:u w:val="single"/>
          <w:rtl w:val="0"/>
        </w:rPr>
        <w:t xml:space="preserve">jānosaka aizsardzības mērķi katrai Natura 2000 teritorijai </w:t>
      </w:r>
      <w:r w:rsidR="00000000" w:rsidRPr="00000000" w:rsidDel="00000000">
        <w:rPr>
          <w:rtl w:val="0"/>
        </w:rPr>
        <w:t xml:space="preserve">- katram biotopam un sugai, kuru aizsardzībai šī teritorija ir izveidota. Kā norādīts Argumentētajā atzinumā aizsardzības mērķu funkcija ir norādīt stāvokli, kāds jāsasniedz teritorijās sastopamajām sugām un biotopu veidiem, lai teritorija varētu sekmēt vispārējā mērķa sasniegšanu — labvēlīgu aizsardzības stāvokli šīm sugām un dzīvotņu veidiem. Aizsardzības mērķi nosakāmi balstoties uz zinātniskiem kritērijiem atbilstoši Eiropas Komisijas norādēm par Natura 2000 teritoriju aizsardzības mērķu noteikšanu (turpmāk – Metodika)  (chrome-extension://efaidnbmnnnibpcajpcglclefindmkaj/https://circabc.europa.eu/sd/a/68834981-033a-4d8e-b306-54dd8b6f48fa/Commission%20note%20on%20setting%20conservation%20objectives.pdf) un īpaši Latvijai izstrādātajai metodikai "Vadlīnijas sistemātiskai sugu un biotopu aizsardzības mērķu noteikšanai" (chrome-extension://efaidnbmnnnibpcajpcglclefindmkaj/https://latvianature.daba.gov.lv/wp-content/uploads/2022/10/Vadlinijas_sugu_biotopu_aizsardzibas_merkiem_2.0.pdf).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labvēlīgu aizsardzības stāvokli biotopiem un sugām,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teritorijai specifiskiem, t. i., noteiktiem teritorijas līmenī (bet tos var būt nepieciešams papildināt ar plašāku saglabāšanas mērķu kopumu augstākā līmenī, piemēram, valsts, reģionālā vai bioģeogrāfiskā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visaptverošiem, t. i., noteiktiem attiecībā uz visām nozīmīgajām Biotopu direktīvas sugām un dzīvotņu veidiem, kas plaši pārstāvēti Natura 2000 teritorijā (piemēram, kā norādīts attiecīgajā Natura 2000 datu standartveidlapā);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specifiskiem attiecībā uz konkrētu iezīmi, t. i., jāattiecas uz atsevišķiem dzīvotņu veidiem vai sugām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specifiskiem attiecībā uz paredzēto stāvokli, t. i., skaidri jānorāda stāvoklis, kādā jāsaglabā teritorijās sastopamie dzīvotņu veidi un sugas; vēlamajam stāvoklim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kvantitatīvam un izmērāmam (kvantitatīvi mērķrādītāji, ko iespējams papildināt ar kvalitatīviem mērķrādītājiem, piemēram, dzīvotnes vai populācijas struktūras laba stāvokļa apraksts), kā arī uzrādāmam (monitorējamam);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reālistiskam (saprātīgs grafiks un resursu izmantojums), ar konsekventu pieeju (attiecībā uz vienām un tām pašām iezīmēm visās teritorijās izmanto līdzīgu struktūru un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visaptverošam (parametriem un mērķrādītājiem jāaptver interesējošās iezīmes īpašības, kas dod iespēju stāvokli raksturot kā labvēlīgu vai nelabvēlīgu);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skaidram attiecībā uz to, vai teritorijas attiecīgās iezīmes saglabāšanās stāvoklī paredzēts “atjaunot” vai “saglabāt”;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jāatbilst šajās teritorijās sastopamo I pielikumā minēto biotopu veidu un II pielikumā minēto sugu ekoloģiskajām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Natura 2000 teritoriju aizsardzības mērķi tika izvērtēti un noteikti izstrādājot dabas aizsardzības plānus. Saskaņā ar Ministru kabineta 2007. gada 9. oktobra noteikumu Nr. 686 “Noteikumi par īpaši aizsargājamās dabas teritorijas dabas aizsardzības plāna saturu un izstrādes kārtību” (turpmāk – Plānu noteikumi) 9.4. apakšpunktu dabas aizsardzības plānā iekļauj aizsardzības mērķi katram ES nozīmes biotopam un sugai, kuru aizsardzībai šī teritorija ir izveidota. Tā kā visām teritorijām dabas aizsardzības plāni nav nepieciešami un netiek izstrādāti, visām teritorijām nav noteikti konkrēti, izmērāmi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aizsardzības mērķu noteikšanā visām Natura 2000 teritorijām atbilstoši Metodikai, ES LIFE programmas projekta “Natura 2000 aizsargājamo teritoriju pārvaldības un apsaimniekošanas optimizācija” ietvaros, piesaistot kvalificētus ekspertus, ir noteikti gan valsts līmeņa aizsardzības mērķi, gan katras Natura 2000 teritorijas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2009. gada 2. jūnija noteikumos Nr. 507 "Dabas aizsardzības pārvaldes nolikums" Dabas aizsardzības pārvaldei noteiktās funkcijas, likumprojekts paredz, ka Natura 2000 teritoriju aizsardzības mērķus apstiprina Dabas aizsardzības pārvalde un saskaņā ar Likuma 31. panta otro daļu un noteikumiem Nr. 239 reģistrē tos dabas datu pārvaldības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Natura 2000 aizsardzības mērķu reģistrācijas dabas datu pārvaldības sistēmā, tos plānveidīgi pārvērtē ik pēc 12 gadiem, t.i. ik pēc diviem ziņošanas cikliem par sugu un biotopu stāvokli atbilstoši Biotopu direktīvas 17.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plānveidīgai aizsardzības mērķu pārvērtēšanai un to reģistrēšanai dabas datu pārvaldības sistēmā, DAP reģistrē jaunus vai aktualizē esošos aizsardzības mērķus tikai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jauna dabas aizsardzības plāna izstrādes un apstiprināšanas. Plānu noteikumi noteic, ka dabas aizsardzības plānā iekļauj aizsargājamās teritorijas aizsardzības un apsaimniekošanas ilgtermiņa un īstermiņa mērķus, tajā skaitā aizsardzības mērķus katram Eiropas Savienības nozīmes biotopam un sugai, kuru aizsardzībai šī teritorija ir izveidota.  Līdz ar to izstrādājot jaunu dabas aizsardzības plānu, ir jāizvērtē iepriekš noteiktos  aizsardzības mērķus un, ja nepieciešams, tie jāaktualizē.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veikta paredzētā darbība atbilstoši Likuma 43. pantam un atbilstoši likuma 44. pantam tiek piemēroti kompensējošie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noteiktas jaunas Natura 2000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aizsardzības mērķi norāda uz sugu un biotopu stāvokli, kāds jāsasniedz katrā Natura 2000 teritorijā. Tie paši par sevi neuzliek pienākumus vai ierobežojumus zemes īpašniekam, bet ir pamats apsaimniekošanas pasākumu plānošanai un ieviešanai, aizsardzības režīma izvērtēšanai, kā arī tie ir būtiski ietekmes uz Natura 2000 teritoriju izvērtēšanā.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direktīvas 6. panta 3. punkts noteic, ka visos plānos vai projektos, kas nav tieši saistīti ar konkrēto teritoriju vai nav vajadzīgi tās apsaimniekošanai, bet kas atsevišķi vai kopā ar citiem plāniem vai projektiem varētu būtiski ietekmēt minēto teritoriju, attiecīgi izvērtē ietekmi uz šo teritoriju, ievērojot tās aizsardzības mērķus. Kā norādīts argumentētajā atzinumā tikai specifiski, izmērāmi un uzrādāmi aizsardzības mērķi var būt pamats Biotopu 6. panta 3. punkta piemērošanai plāniem un projektiem, kas varētu Natura 2000 teritorijas būtiski ietekmēt. Līdz ar to, jebkura darbība, kas tiek realizēta Natura 2000 teritorijā ir jāizvērtē, un tā nedrīkst būt pretrunā aizsardzības mērķiem (izņemot atsevišķus gadījumus, kad tiek piemēroti kompensējošie pasākumi). Minētā prasība ir iekļauta Likuma 43.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Biotopu direktīvas 6. panta 1. punktā noteiktajam dalībvalstīm, balstoties uz katras Natura 2000 teritorijas aizsardzības mērķiem, jānosaka vajadzīgie aizsardzības (t.sk. apsaimniekošanas) pasākumi, kuri atbilst konkrētajās Natura 2000 teritorijās sastopamo dabisko biotopu veidu un sugu ekoloģiskajām prasībām. Saskaņā ar Plānu noteikumiem, izstrādājot dabas aizsardzības plānu tiek plānoti aizsardzības mērķu sasniegšanai nepieciešamie pasākumi, iesaistot vietējās pašvaldības, kā arī sabiedrību (zemes īpašniekus, nevalstiskās organizācijas u.c. ieinteresētās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aizsardzības mērķiem atbilstošus aizsardzības pasākumus daļēji nodrošina gan vispārējie, gan individuālie aizsardzības un izmantošanas noteikumi. Piemēram, aizliegums bojāt vai iznīcināt atsevišķus zālāju biotopus, ūdensputnu medību aizliegums u.c. Tomēr šie ierobežojumi ne vienmēr ir pietiekami, lai varētu sasniegt Natura 2000 teritoriju aizsardzības mērķus, tādējādi nodrošinot arī sugu un biotopu labvēlīgu aizsardzības stāvokli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nozīmes biotopu saglabāšanu primāri Natura 2000 teritorijās, Ministru kabineta 21.01.2025. sēdes protokollēmuma (Nr.3 38. §) 4. punktā ir dots uzdevums Viedās administrācijas un reģionālās attīstības ministrijai 2025. gada laikā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Viedās administrācijas un reģionālās attīstības ministrijai izstrādāt priekšlikumus normatīvā regulējuma pilnveidošanai atbilstoši likumā "Par īpaši aizsargājamām dabas teritorijām" noteiktai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nodrošinātu virzību uz Natura 2000 teritoriju izveidošanas un aizsardzības mērķu sasniegšanu, kā arī ES nozīmes biotopu labvēlīgu aizsardzības stāvokli primāri Natura 2000 teritorijās, Likumprojektā iekļauts aizliegums Natura 2000 teritorijās bojāt un iznīcināt ES nozīmes biotopus</w:t>
      </w:r>
      <w:r w:rsidR="00000000" w:rsidRPr="00000000" w:rsidDel="00000000">
        <w:rPr>
          <w:rtl w:val="0"/>
        </w:rPr>
        <w:t xml:space="preserve">, paredzot paredz izņēmumus, ja ir veikts ietekmes uz Natura 2000  teritoriju izvērtējums un paredzētā darbība ir vienīgais risinājums un nepieciešams sabiedrībai nozīmīgu interešu, arī sociālo vai ekonomisko interešu, apmierināšanai, kā arī, ja ietekme nav būtiska un tā nav pretrunā teritorijas izveidošanas un aizsardzības mērķiem. Ierobežojums tiek noteikts primāri valsts un pašvaldību īpašumā esošā zemē (pēc VARAM aprēķiniem attieksies uz 27007 ha), lai pēc iespējas nepalielinātu slogu uz privātpersonu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nodrošinātu biotopu labvēlīgu aizsardzības stāvokli ierobežojums attiecināms uz visām Natura 2000 teritorijām. Tāpēc, lai</w:t>
      </w:r>
      <w:r w:rsidR="00000000" w:rsidRPr="00000000" w:rsidDel="00000000">
        <w:rPr>
          <w:rtl w:val="0"/>
        </w:rPr>
        <w:t xml:space="preserve"> </w:t>
      </w:r>
      <w:r w:rsidR="00000000" w:rsidRPr="00000000" w:rsidDel="00000000">
        <w:rPr>
          <w:b w:val="1"/>
          <w:rtl w:val="0"/>
        </w:rPr>
        <w:t xml:space="preserve">neveiktu izmaiņas vispārējos un visos individuālajos aizsargājamo teritoriju aizsardzības un izmantošanas noteikumos un regulējumu attiecinātu tieši uz Natura 2000 teritorijām, šo regulējumu optimāli ir iekļaut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u w:val="single"/>
          <w:rtl w:val="0"/>
        </w:rPr>
        <w:t xml:space="preserve">netiek mainīti citi īpaši aizsargājamo dabas teritoriju aizsardzības un izmantošanas noteikumi</w:t>
      </w:r>
      <w:r w:rsidR="00000000" w:rsidRPr="00000000" w:rsidDel="00000000">
        <w:rPr>
          <w:rtl w:val="0"/>
        </w:rPr>
        <w:t xml:space="preserve">, kas atbilstoši minētajam protokollēmumam tiks izvērtēti pakāpeniski un nepieciešamības gadījumā tiks virzīti kā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biotopu bojāšanu vai iznīcināšanu uzskatāmas darbības, kuru rezultātā pasliktinās biotopa stāvoklis, tiek negatīvi un neatgriezeniski ietekmēti ES nozīmes biotopus raksturojošie nozīmīgie struktūru elementi, raksturojošās sugas, mainīti vides apstākļi (reljefs, augsne, mitruma režīms).</w:t>
      </w:r>
      <w:r w:rsidR="00000000" w:rsidRPr="00000000" w:rsidDel="00000000">
        <w:rPr>
          <w:rtl w:val="0"/>
        </w:rPr>
        <w:t xml:space="preserve"> Zālāju biotopu, kā arī atsevišķu meža biotopu iznīcināšanas un bojāšanas aizliegums jau šobrīd ir noteikts vispārējos un vairākos individuālajos īpaši aizsargājamo dabas teritoriju aizsardzības un izmantošanas noteikumos. Līdz šim tā piemērošana praksē nav radījusi problēmas. L</w:t>
      </w:r>
      <w:r w:rsidR="00000000" w:rsidRPr="00000000" w:rsidDel="00000000">
        <w:rPr>
          <w:b w:val="1"/>
          <w:rtl w:val="0"/>
        </w:rPr>
        <w:t xml:space="preserve">ai arī turpmāk nerastos neskaidrības ar minētā aizlieguma piemērošanu, papildināta redakcija, minot biotopu bojāšanas piemērus  - aizliegts bojāt vai iznīcināt (tajā skaitā uzart vai kultivēt, ieaudzēt mežu, veikt mežsaimniecisko darbību) Eiropas Savienības nozīmes biotopus. Vienlaikus netiek aizliegti biotopu apsaimniekošanas pasākumi, kas nav pretrunā Eiropas nozīmes aizsargājamās dabas teritorijas (Natura 2000) izveidošanas un aizsardzības mērķiem un nepieciešami šo mērķu sasniegšanai.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Pielikumā noteiktie Natura 2000 teritoriju izveidošanas mērķi noteikti atbilstoši aktuālai zinātniskajai informācija par sugām un biotopiem uz 2021. gada 1. augustu. Lai novērstu pārkāpuma procedūrā norādītos pārkāpumus jāaktualizē Natura 2000 teritoriju izveidošanas mērķi atbilstoši jaunākajai zinātniskajai informācijai.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projekta ES LIFE programmas projekta "Natura 2000 aizsargājamo teritoriju pārvaldības un apsaimniekošanas optimizācija" ietvaros ir aktualizējusi Natura 2000 teritoriju izveides mērķus attiecībā uz ES nozīmes biotopiem balstoties uz ES Kohēzijas fonda līdzfinansētā projekta „Priekšnosacījumu izveide labākai bioloģiskās daudzveidības saglabāšanai un ekosistēmu aizsardzībai Latvijā” (Dabas skaitīšanas projekta) iegūtajiem datiem par biotopu izplatību un kvalitāti, kā arī citu jaunāko zinātnisko informāciju. Papildus tam, balstoties uz jaunāko pieejamo zinātnisko informāciju, ir veikta informācijas precizēšana par putnu sugām.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aktualizēt Likuma Pielikumā visu iepriekš izveidoto Natura 2000 teritoriju izveides mērķus attiecībā uz ES nozīmes biotopiem, aktualizēt informāciju par sugām, t.sk. putnu sugām, kā arī noteikt izveides mērķus visām no jauna iekļautajām Natura 2000 teritorijām. Papildus tiek precizēts Natura 2000 teritorijas tips, nosakot tipu "C" teritorijām, kuras izveidotas gan biotopu, gan sugu, tajā skaitā putnu sugu aizsardzībai.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34. panta trešā daļā noteic, ka normatīvajos aktos noteiktie īpašuma tiesību aprobežojumi aizsargājamās teritorijās atzīmējami zemes robežu plānos un ierakstāmi zemesgrāmatā bez īpašnieka piekrišanas, pamatojoties uz Dabas aizsardzības pārvaldes nostiprinājuma lūgumu. Īpašuma tiesību aprobežojumi pašvaldību izveidotās aizsargājamās teritorijās ierakstāmi zemesgrāmatā, pamatojoties uz attiecīgās pašvaldības nostiprinājuma lūgumu.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Zemesgrāmatu likuma 1. pantam Zemesgrāmatās ieraksta nekustamus īpašumus un nostiprina ar tiem saistītās tiesības. Elektroniskā zemesgrāmata vairs neuztur un neieraksta tos apgrūtinājumus, kas noteikti uz likuma, piemēram, likuma "Par kultūras pieminekļu aizsardzību" un Aizsargjoslu likuma pamata, bet jau ierakstītos šāda veida apgrūtinājumus pakāpeniski, izskatot secīgi ienākušos nostiprinājuma lūgumus uz konkrēto nekustamo īpašumu, dzēš.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34. panta trešā daļa tiek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jaunu aizsargājamo teritoriju veidošanu zemes īpašnieki tiek informēti saskaņā ar Likuma 11. panta otro daļu, savukārt par aizsargājamās teritorijas robežu, zonējuma, kategorijas vai aizsardzības režīma plānoto maiņu atbilstoši Likuma 13. panta ceturtai daļai.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40. panta pirmo daļu aizsargājamās teritorijas statusu var likvidēt tikai tad, ja zudusi aizsargājamās teritorijas vērtība. Pēc ĪADT statusa likvidēšanas uz bijušo teritoriju turpmāk nav attiecināmi tai iepriekš noteiktie ierobežojumi. Tas attiecināms arī uz dabas pieminekļiem - aizsargājamiem kokiem (dižkokiem), kurus atļauts nocirst tikai atsevišķos izņēmuma gadījumos, kuri noteikti noteikumos Nr.264. Lai gan par aizsargājama koka iznīcināšanu ir noteikta gan administratīvā atbildība, gan kriminālatbildība, tas nepasargā aizsargājamus kokus no ļaunprātīgas iznīcināšanas, un praksē ir konstatēti gadījumi, kad aizsargājams koks ir iznīcināts nelikumīgi, lai atbrīvotos no ĪADT statusa un veiktu darbības, kuras noteikumi Nr.264 nepieļauj aizsargājama koka teritorijā, piemēram, būvniecību.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Lai preventīvi aizsargātu dabas vērtības no prettiesiskas rīcības, kad aizsargājams koks (dižkoks) tiek apzināti un mērķtiecīgi iznīcināts, likumprojekts paredz papildināt Likuma 40. pantu ar jaunu ceturto daļu, kas noteic, ka gadījumā,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Par iznīcinātu koku uzskatāms nocirsts koks vai bojāts koks, kas ir zaudējis augtspēju. Teritorijā 15 metru rādiusā ap iznīcinātā koka celmu aizliegta būvniecība, izņemot pilsētā vai apdzīvotā vietā inženiertīklu būvniecību un ēku atjaunošanu un pārbūvi, kā arī lai nodrošinātu sabiedrības veselības aizsardzības, drošības, nacionālās vai citas sevišķi svarīgas, arī sociāla vai ekonomiska rakstura, intereses vai videi primāri svarīgas labvēlīgas izmaiņas. Ieraksts saglabājams dabas datu pārvaldības sistēmā 20 gadus no pārkāpuma konstatēšanas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metru rādiusu mēra no celma ārējās malas. Līdz šim nav konstatēti gadījumi, kad aizsargājams koks tiktu iznīcināts ar visu celmu. Šādā gadījumā, par sākumpunktu būtu izmantojamas dabas datu pārvaldības sistēmā reģistrētās koka koordinātes. Dabas datu pārvaldības sistēmā reģistrētās aizsargājamā koka koordinātes ir noteiktas uz vietas dabā, attiecīgi, pat, ja dabas datu pārvaldības sistēmā veidojas tehniskas neprecizitātes, dabā iespējams precīzi konstatēt vietu ar reģistrētajām koordinātēm.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aizsargājami koki galvenokārt tiek iznīcināti, lai to teritorijā veiktu būvniecību un normatīvajos aktos noteiktā administratīvā atbildība un uzliktais naudas sods neattur no ļaunprātīgas aizsargājamo koku iznīcināšanas, 20 gadi ir uzskatāms par samērīgu periodu, kas atbilst vienam pašvaldības teritorijas attīstības plānošanas ciklam (pašvaldības teritorijas plānojumu izstrādā periodam līdz 25 gadiem). Ieraksta saglabāšana dabas datu pārvaldības sistēmā nodrošinās informāciju institūcijām un sabiedrībai par aizsargājamā koka iznīcināšanu un būvniecības ierobežojumiem. Valsts vienotajā datorizētajā zemesgrāmatā pie katra nodalījuma redzams šāds ieraksts: "Informācija par apgrūtinājumiem, kas attiecas uz īpaši aizsargājamām dabas teritorijām vai mikroliegumiem – pieejama dabas datu pārvaldības sistēmā OZOLS https://ozols.gov.lv/pub", līdz ar to nepastāv risks, ka privātpersona ieskatoties tikai Zemesgrāmatas nodalījumā nebūs informēta. Pie tam normas mērķis ir nodrošināt, ka mainoties zemes īpašniekam netiek atcelti ierobežojumi, tāpat kā tie netiktu atcelti, ja aizsargājams koks nebūtu iznīcināts. Paredzētie ierobežojumi atbilst Ministru kabineta 2010. gada 16. marta noteikumu  "Īpaši aizsargājamo dabas teritoriju vispārējie aizsardzības un izmantošanas noteikumi" Nr. 264 noteiktajiem ierobežojumiem, proti zemes īpašniekam netiek uzlikti jauni vai lielāki ierobežojumi.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XI nodaļā “Administratīvie pārkāpumi aizsargājamo teritoriju aizsardzības un izmantošanas jomā un kompetence administratīvo pārkāpumu procesā” nav nodalīti pārkāpumi Saeimas vai MK izveidotās aizsargājamās teritorijās un pašvaldību izveidotās aizsargājamās teritorijās.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 panta trešā daļa noteic, ka dabas liegumus, dabas parkus un dabas pieminekļus, kuri ir nozīmīgi dabas vai kultūrvēsturiskā mantojuma saglabāšanai attiecīgajā teritorijā, var izveidot pašvaldība, un 13. panta trešā daļa noteic, ka pašvaldību izveidoto aizsargājamo teritoriju individuālos aizsardzības un izmantošanas noteikumus reglamentē attiecīgā pašvaldība. Spēkā esošais kompetenču sadalījums administratīvo pārkāpumu procesā noteic, ka Dabas aizsardzības pārvalde izskata administratīvā pārkāpuma lietu arī par pārkāpumiem pašvaldību izveidotās aizsargājamās teritorijās. Ņemot vērā, ka pašvaldības izveidotās aizsargājamās teritorijās tā nosaka ierobežojums un veic kontroli, un administratīvā pārkāpuma procedūru līdz lietas izskatīšanai veic pašvaldības policija, pašvaldības vides inspekcija vai pašvaldības vides kontroles amatpersona, nav lietderīgi administratīvā pārkāpuma lietu nodot izskatīšanai Dabas aizsardzības pārvaldei. Lai nodrošinātu efektīvāku administratīvā pārkāpuma procesu, vienlaikus saglabājot vienotu administratīvās atbildības regulējumu,  Likuma 45. pants tiek precizēts, nosakot, ka administratīvā pārkāpuma lietu par pārkāpumiem, kas konstatēti Saeimas vai Ministru kabineta izveidotās aizsargājamās teritorijās, izskata Dabas aizsardzības pārvalde, savukārt par pārkāpumiem, kas konstatēti pašvaldību izveidotās aizsargājamās teritorijās izskata pašvaldības policija, pašvaldības vides kontroles amatpersona vai pašvaldības administratīvā komisija vai apakškomisija. Kompetence izskatīt administratīvo pārkāpumu lietas pašvaldības administratīvajai komisijai vai apakškomisijai noteikta pamatojoties uz to, ka pašvaldību administratīvās komisijas vai apakškomisijas jau šobrīd praksē veic līdzīgu lietu izskatīšanu, balstoties uz Meža likuma 52. panta trešās daļas 2. punktā ietverto deleģējumu. Šī norma piešķir tiesības izskatīt lietas par koku patvaļīgu ciršanu vai bojāšanu ārpus meža teritorijas, līdz ar to šīm institūcijām ir uzkrāta atbilstoša pieredze un nepieciešamā kompetence.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24. oktobrī pieņēma rīkojumu Nr. 863 “Par valsts zinātniskā institūta – atvasinātas publiskās personas "Nacionālais botāniskais dārzs" – likvidāciju un Latvijas Nacionālā botāniskā dārza izveidošanu”, kas paredz mainīt Nacionālā botāniskā dārza statusu no 2025. gada 1. janvāra. Ar Ministru kabineta 2024. gada 22. oktobra sēdes protokollēmuma 4.punktu (prot. Nr. 45 29. §) Viedās administrācijas un reģionālās attīstības ministrijai uzdots līdz 2025. gada 1. februārim izstrādāt un noteiktā kārtībā iesniegt  izskatīšanai  Ministru kabinetā likumprojektu "Grozījumi likumā "Par īpaši aizsargājamām dabas teritorijām"", kurā precizēt valsts zinātniskā institūta – atvasinātas publiskās personas "Nacionālais botāniskais dārzs" –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stājās spēkā Ministru kabineta 2024. gada 22. oktobra noteikumi Nr. 655 “Latvijas Nacionālā botāniskā dārza nolikums”. Likumprojektā tiek precizēta 25. panta septītā daļa, nosakot, ka dabas pieminekli "Latvijas Nacionālais botāniskais dārzs" pārvalda viedās administrācijas un reģionālās attīstības ministra pakļautībā esoša tiešās pārvaldes iestāde "Latvijas Nacionālais botāniskais dārzs".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 pants noteic valstij pirmpirkuma tiesības uz zemi ĪADT (dabas rezervātos, dabas liegumos un dabas pieminekļos un citu kategoriju stingrā režīma, regulējamā režīma un dabas lieguma zonā), kas praktiski netiek izmantotas. Zemes īpašniekam ir pienākumu informēt Dabas aizsardzības pārvaldi par nodomu pārdot zemi, savukārt Dabas aizsardzības pārvaldei jāizvērtē un jāsniedz atbilde (atteikums).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svītrot 35. pantu, ņemot vērā nepieciešamību mazināt administratīvo slogu un uzlabot darbības efektivitāti. Zemes īpašniekam, kas vēlas pārdot zemi, nebūs jāvēršas Dabas aizsardzības pārvaldē, tādējādi tiks samazināts darījumu ar nekustamajiem īpašumiem veikšanai nepieciešamais laiks. </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III nodaļa nosaka aizsargājamo teritoriju izveidošanas kārtību, kura nav piemērojama attiecībā uz dabas pieminekļiem - aizsargājamiem kokiem un akmeņiem.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III nodaļa paredz, ka par aizsargājamās teritorijas izveidošanu Dabas aizsardzības pārvaldei jāsagatavo priekšlikums, jāiesniedz Viedās administrācijas un reģionālās attīstības ministrijā, kā arī jāinformē zemes īpašnieki un pašvaldība par aizsargājamās teritorijas veidošanu. Vienlaikus Likums noteic, ka dabas pieminekļus nosaka Ministru kabinets. Attiecībā uz dabas pieminekļiem Ministru kabineta noteikumi (vispārējie vai individuālie aizsargājamo teritoriju izmantošanas un aizsardzības noteikumi) nosaka aizsargājamo koku un akmeņu parametrus. Augstākās tiesas Senāts 2020. gada 10. jūlija spriedumā lietā Nr. A420319417, SKA-507/2020 atzinis, ka aizsargājama koka (dižkoka) statuss kokam tiek noteikts ar normatīvo aktu, kad tas sasniedz likumdevēja noteiktos apkārtmērus. Aizsargājam koka statusa apliecināšanai nav jāpieņem vēl kāds iestādes lēmums, jo tas jau ir noteikts minētajā ārējā normatīvajā aktā. Tas nozīmē, ka Likuma 11. – 13. pantā noteiktā aizsargājamo teritoriju izveidošanas kārtība nav attiecināma un piemērojama uz aizsargājamiem kokiem, jo tie iegūst dabas pieminekļa statusu, sasniedzot Ministru kabineta noteikumos noteiktos parametrus. Tas pats būtu attiecināms uz aizsargājamiem akmeņiem, ja tie atbilst Ministru kabineta noteiktajiem izmēriem. Līdz ar to tiesiskajai noteiktībai un skaidrībai Likumprojekts paredz papildināt Likumu ar jaunu pantu,13.</w:t>
      </w:r>
      <w:r w:rsidR="00000000" w:rsidRPr="00000000" w:rsidDel="00000000">
        <w:rPr>
          <w:vertAlign w:val="superscript"/>
          <w:rtl w:val="0"/>
        </w:rPr>
        <w:t xml:space="preserve">1</w:t>
      </w:r>
      <w:r w:rsidR="00000000" w:rsidRPr="00000000" w:rsidDel="00000000">
        <w:rPr>
          <w:rtl w:val="0"/>
        </w:rPr>
        <w:t xml:space="preserve"> pantu, kas nosaka aizsargājamo koku un akmeņu izveidošanas kārtību. Savukārt deleģējums noteikt dabas pieminekļus - aizsargājamos kokus un akmeņus jau ir noteikts 13. panta otrajā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novērstas EK ierosinātās pārkāpuma procedūras lietā Nr. 2019/2304 un pārkāpuma procedūru lietā Nr. 2020/2209 par Padomes 1992. gada 21. maija Direktīvas 92/43/EEK par Biotopu direktīvas saistību neizpildi, EK ir tiesības vērsties pret Latviju ES Tiesā, kas var lemt par soda un kavējuma naudas piemērošanu.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31992L0043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1992.gada 21.maija Direktīva 92/43/EEK par dabisko biotopu savvaļas faunas un floras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nodrošinās Biotopu direktīvas 4. panta 4. punkta un 6. panta prasību izpildi, lai novērstu pret Latviju ierosināto pārkāpumu procedūru lietā Nr. 2020/2209, un 4. panta 1. punkta prasību izpildi, lai novērstu pret Latviju ierosināto pārkāpumu procedūru lietā Nr. 2019/2304.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1992.gada 21.maija Direktīva 92/43/EEK par dabisko biotopu savvaļas faunas un floras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 un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Pilnīga direktīvas  4.panta 1.punkta izpilde tiks nodrošināta pēc aizsardzības statusa (un Natura 2000 statusa) noteikšanas visiem pārkāpumu procedūrā minētajiem ES nozīmes biotopiem un sugām (t.sk. biotopam Sugām bagātas ganības un ganītas pļavas,6270*, akmeņu sēkļi jūrā 1170</w:t>
            </w:r>
            <w:r w:rsidR="00000000" w:rsidRPr="00000000" w:rsidDel="00000000">
              <w:rPr>
                <w:sz w:val="24"/>
                <w:i w:val="1"/>
                <w:rtl w:val="0"/>
              </w:rPr>
              <w:t xml:space="preserve">)</w:t>
            </w:r>
            <w:r w:rsidR="00000000" w:rsidRPr="00000000" w:rsidDel="00000000">
              <w:rPr>
                <w:sz w:val="24"/>
                <w:rtl w:val="0"/>
              </w:rPr>
              <w:t xml:space="preserve">. Dabas liegumu veidošana biotopa 6270* ir uzsākta (Grozījumi Ministru kabineta 2023. gada 21. novembra noteikumos Nr. 674 "Noteikumi par dabas liegumiem", 24-TA-1293). Lai nodrošinātu biotopa akmeņu sēkļi jūrā 1170, tiek veikti pētījumi un gatavoti Natura 2000 teritoriju priekšlikumi LIFE projekta "Jūras aizsargājamo biotopu izpēte un nepieciešamā aizsardzības statusa noteikšana Latvijas ekskluzīvajā ekonomiskajā zonā" ietvaros, plānots priekšlikumus sagatavot līdz šā gada beigām.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netiek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netiek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noteikusi Natura 2000 teritoriju tīklā iekļaujamos dabas liegumus biotopa Staignāju meži (9080*) aizsardzībai pēc iespējas valsts zemēs, lai neapgrūtinātu privātīpašumā esošas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Natura 2000 aizsardzības mērķu reģistrēšanai tiks izmantota esošā dabas datu pārvaldības sistēma.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https://tapportals.mk.gov.lv/legal_acts/82871703-497c-496d-ad0c-38ed2ebc96c3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apriešana TAP 21.08.2024. - 04.09.2024. Saņemti piecu biedrību un nodibinājumu un vienas zemnieku saimniecības iebildumi/priekšlikumi. Iebildumi/priekšlikumi izvērtēti un sadaļā "Papildu dokumenti" pievienots viedokļu pārskats ar skaidrojumu par izteiktajiem iebildumiem/priekšlikumiem.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Labvēlīga ietekme uz vidi, pilnveidojot Natura 2000 teritoriju tīklu un īpaši aizsargājamo dabas teritoriju aizsardzību.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24-TA-415</w:t>
    </w:r>
    <w:r>
      <w:br/>
    </w:r>
    <w:r w:rsidR="00000000" w:rsidRPr="00000000" w:rsidDel="00000000">
      <w:rPr>
        <w:rtl w:val="0"/>
      </w:rPr>
      <w:t xml:space="preserve">Izdrukāts 29.07.2026. 22.36 - 6.0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24-TA-415</w:t>
    </w:r>
    <w:r>
      <w:br/>
    </w:r>
    <w:r w:rsidR="00000000" w:rsidRPr="00000000" w:rsidDel="00000000">
      <w:rPr>
        <w:rtl w:val="0"/>
      </w:rPr>
      <w:t xml:space="preserve">Izdrukāts 29.07.2026. 22.36 - 6.0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anotācija_(ex_ante)_24-TA-415.docx</dc:title>
</cp:coreProperties>
</file>

<file path=docProps/custom.xml><?xml version="1.0" encoding="utf-8"?>
<Properties xmlns="http://schemas.openxmlformats.org/officeDocument/2006/custom-properties" xmlns:vt="http://schemas.openxmlformats.org/officeDocument/2006/docPropsVTypes"/>
</file>