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"Jūras transporta nododamo kvotu apjoma noteikšanas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"Kārtība jūras transporta nododamo kvotu apjoma noteikšanai" (turpmāk – noteikumu projekts) ir izstrādāts saskaņā ar likuma "Par piesārņojumu" 32.</w:t>
      </w:r>
      <w:r w:rsidR="00000000" w:rsidRPr="00000000" w:rsidDel="00000000">
        <w:rPr>
          <w:vertAlign w:val="superscript"/>
          <w:rtl w:val="0"/>
        </w:rPr>
        <w:t xml:space="preserve">22</w:t>
      </w:r>
      <w:r w:rsidR="00000000" w:rsidRPr="00000000" w:rsidDel="00000000">
        <w:rPr>
          <w:rtl w:val="0"/>
        </w:rPr>
        <w:t xml:space="preserve"> panta piekto daļu, lai transponētu Eiropas Parlamenta un Padomes 2023. gada 10. maija Direktīvas (ES) 2023/959, ar ko groza Direktīvu 2003/87/EK, ar kuru nosaka sistēmu siltumnīcas efektu izraisošo gāzu emisijas kvotu tirdzniecībai Savienībā, un Lēmumu (ES) 2015/1814 par Savienības siltumnīcefekta gāzu emisijas kvotu tirdzniecības sistēmas tirgus stabilitātes rezerves izveidi un darbību (turpmāk – Direktīva  2023/959) kvotu nodošanas nosacījumus.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jaunu tiesisko regulējumu, ar kuru nosaka emisijas kvotu nodošanas nosacījumus kuģošanas sabiedrībām.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Parlaments un Padome 2023. gada 10. maijā pieņēma Direktīvu 2023/959, kas nosaka jaunus pienākumus gan Eiropas Savienības dalībvalstīm, gan kuģošanas sabiedrībām Eiropas Savienības emisijas kvotu tirdzniecības sistēmā (turpmāk – ES ETS). Jūras transports sākot ar 2024. gada 1. janvāri tika iekļauts ES ETS. Kuģošanas sabiedrībām jau kopš 2018. gada saskaņā ar Eiropas Parlamenta un Padomes 2015. gada 29. aprīļa regulu (ES) Nr. 2015/757 par jūras transporta radīto siltumnīcefekta gāzu emisiju monitoringu, ziņošanu un verifikāciju un ar ko groza Direktīvu 2009/16/EK (turpmāk – regula Nr. 2015/757) par pienākumu ir uzlikts monitorēt un ziņot par to emitētajām siltumnīcefekta gāzu (turpmāk – SEG) emisijām, bet saistībā ar 2023. gada 10. maija grozījumiem, kuģošanas sabiedrībām būs jāpilda jauns pienākums - emisijas kvotu nodošana par kuģu emitēto emisiju apjomu uzņēmuma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ETS, tai skaitā, iekārtu, gaisa kuģu un jūras transporta regulējums līdz 2023. gada 31. decembrim bija jātransponē Latvijas tiesību aktos. Par laicīgu ES ETS (iekārtu un jūras transporta) normu netransponēšanu Eiropas Komisija pret Latviju ir uzsākusi pārkāpuma procedūru (INFR(2024)0096).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Direktīvas 2023/959 pilnīgu transponēšanu nacionālajā līmenī, ES ETS kuģošanas sabiedrībām ir vajadzīgs noteikt tiesisko regulējumu, kas definē jaunos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Ministru kabineta 2018. gada 17. jūlija noteikumi Nr. 430 "Kārtība, kādā sagatavo, pārbauda un iesniedz ziņojumu par jūras transporta oglekļa dioksīda emisijām" (turpmāk – noteikumi Nr. 430) noteica jūras transporta monitoringa, ziņošanas un verifikācijas prasības, tā nosakot kompetento iestādi un nodrošinot regulas Nr. 2015/757 prasību kontroli un uzraudzību Latvijā.  Tā kā no likuma "Par piesārņojumu" ir izslēgtas normas, kuras noteica noteikumu Nr. 430 deleģējumu un likuma "Par piesārņojumu" 32.</w:t>
      </w:r>
      <w:r w:rsidR="00000000" w:rsidRPr="00000000" w:rsidDel="00000000">
        <w:rPr>
          <w:vertAlign w:val="superscript"/>
          <w:rtl w:val="0"/>
        </w:rPr>
        <w:t xml:space="preserve">23</w:t>
      </w:r>
      <w:r w:rsidR="00000000" w:rsidRPr="00000000" w:rsidDel="00000000">
        <w:rPr>
          <w:rtl w:val="0"/>
        </w:rPr>
        <w:t xml:space="preserve"> pantā ir noteikti  monitoringa, ziņošanas un verifikācijas prasības saskaņā ar regulu Nr. 2015/757, šīs normas ir nepieciešams svītrot no noteikumiem Nr. 430 un nodrošināt noteikumu Nr. 430 pārizdošanu.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Katrai Eiropas Savienības (turpmāk – ES) dalībvalstij ir jāpārņem Direktīvas 2023/959 prasības, lai nodrošinātu vienotu pieeju ES ETS ieviešanā un uzraudzībā. Direktīvas 2023/959 pamata normas tiek pārņemtas ar likumu "Par piesārņojumu", taču ir jānosaka detalizētāki noteikumi, kas nosaka kuģošanas sabiedrību emisijas kvotu nodošanas laika grafiku un piemērojamos atvieglojumus emisijas kvotu nodošanai.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Novēlota Direktīvas 2023/959 normu pārņemšana rada nenoteiktību kuģošanas sabiedrībām par pienākumu izpildes nosacījumiem, tā ietekmējot ES ETS ieviešanu un uzraudzību Latvijā un 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2023/959 jūras transporta regulējuma transponēšana kavēta jau 836 dienas (uz 2026. gada 14. aprīli).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transponētas Direktīvas 2023/959 normas, kuras ir izteiktas ar 1. pantā esošo 3. panta aa) apkšpunktu, 3.gb pantu, 12. panta 3.-e, 3.-d, 3.-c un 3.-b 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punkts nosaka grafiku kādā kuģošanas sabiedrībām ir jānodod emisijas kvotu apjoms par 2024., 2025., 2026. un katru turpmāko gadu. Noteikumu projekta 2. - 4. punkts nosaka kādām kuģošanas sabiedrību darbībām piemēro samazinātu emisijas kvotu nododamo apjomu vai nav jānodod emisijas kvotas līdz 2030. gada 31. decembrim.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"tālākais reģions" noteikumu projektā attiecīgi tiek skaidrots, kā "piestāšanas osta", kā noteikts likuma "Par piesārņojumu" 1. panta pirmās daļas 34. punktā, nosakot tās valstis un reģionus, kas definēti Līguma par Eiropas Savienību 349. pantā un Līguma par Eiropas Savienības darbību 355.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pielikums pārņem Helsinku (HELCOM) rekomendācijas 25/7 pielikumu, lai papildinātu noteikumu projekta 3.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Kuģošanas sabiedrības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ar 2025. gadu līdz 30. septembrim kuģošanas sabiedrībām uz kurām attiecas likuma “Par piesārņojumu” 32.</w:t>
      </w:r>
      <w:r w:rsidR="00000000" w:rsidRPr="00000000" w:rsidDel="00000000">
        <w:rPr>
          <w:vertAlign w:val="superscript"/>
          <w:rtl w:val="0"/>
        </w:rPr>
        <w:t xml:space="preserve">22 </w:t>
      </w:r>
      <w:r w:rsidR="00000000" w:rsidRPr="00000000" w:rsidDel="00000000">
        <w:rPr>
          <w:rtl w:val="0"/>
        </w:rPr>
        <w:t xml:space="preserve">panta pirmā daļa, būs jānodod tāds emisijas kvotu apjoms, kas aptver noteiktās kuģošanas sabiedrības emitētās emisijas. ES ETS kuģošanas sabiedrībām nav paredzēta bezmaksas kvotu piešķiršana, tas nozīmē, ka kuģošanas sabiedrībām, lai kompensētu par emitētajām emisijām būs jāiegādājas kvotas. Tām kuģošanas sabiedrībām, uz kurām attiecas ES ETS papildus būs jārēķinās ar izmaksām, kuras būs saistītas ar emisijas kvotu iegādi. Tas var ietekmēt kuģošanas sabiedrību konkurētspēju. Kuģošanas sabiedrībām ir jāveic apzinātas darbības, lai veicinātu SEG emisijas samazinājumu; atjaunīgo un mazoglekļa degvielu izmantošana fosilo degvielu vietā, izmantot tīrāku tehnoloģiju uz kuģiem, u.c., tā veicinot nododamo emisijas kvotu apjoma samazināšanos.  </w:t>
      </w:r>
      <w:r w:rsidR="00000000" w:rsidRPr="00000000" w:rsidDel="00000000">
        <w:rPr>
          <w:rtl w:val="0"/>
        </w:rPr>
        <w:t xml:space="preserve">Sākot ar 2026. gadu ES ETS sevī arī ietvers ne tikai monitoringu par emitēto oglekļa dioksīda (CO</w:t>
      </w:r>
      <w:r w:rsidR="00000000" w:rsidRPr="00000000" w:rsidDel="00000000">
        <w:rPr>
          <w:vertAlign w:val="subscript"/>
          <w:rtl w:val="0"/>
        </w:rPr>
        <w:t xml:space="preserve">2</w:t>
      </w:r>
      <w:r w:rsidR="00000000" w:rsidRPr="00000000" w:rsidDel="00000000">
        <w:rPr>
          <w:rtl w:val="0"/>
        </w:rPr>
        <w:t xml:space="preserve">), bet arī par metāna (CH</w:t>
      </w:r>
      <w:r w:rsidR="00000000" w:rsidRPr="00000000" w:rsidDel="00000000">
        <w:rPr>
          <w:vertAlign w:val="subscript"/>
          <w:rtl w:val="0"/>
        </w:rPr>
        <w:t xml:space="preserve">4</w:t>
      </w:r>
      <w:r w:rsidR="00000000" w:rsidRPr="00000000" w:rsidDel="00000000">
        <w:rPr>
          <w:rtl w:val="0"/>
        </w:rPr>
        <w:t xml:space="preserve">) un slāpekļa oksīda (N</w:t>
      </w:r>
      <w:r w:rsidR="00000000" w:rsidRPr="00000000" w:rsidDel="00000000">
        <w:rPr>
          <w:vertAlign w:val="subscript"/>
          <w:rtl w:val="0"/>
        </w:rPr>
        <w:t xml:space="preserve">2</w:t>
      </w:r>
      <w:r w:rsidR="00000000" w:rsidRPr="00000000" w:rsidDel="00000000">
        <w:rPr>
          <w:rtl w:val="0"/>
        </w:rPr>
        <w:t xml:space="preserve">O) apjomu.</w:t>
      </w:r>
      <w:r w:rsidR="00000000" w:rsidRPr="00000000" w:rsidDel="00000000">
        <w:rPr>
          <w:rtl w:val="0"/>
        </w:rPr>
        <w:t xml:space="preserve">Paplašinot ES ETS uz jūras transportu Latvija kā administrējošā iestāde tiek noteikta 20 kuģošanas sabiedrībām (informācija uz 19.02.2026.), kurām kopumā ir vairāk nekā 100 kuģi. Valsts vides dienestam katram kuģim, kas ietilpst ES ETS, līdz 2025. gada 6. jūnijam bija jāapstiprina monitoringa plāns. </w:t>
      </w:r>
      <w:r w:rsidR="00000000" w:rsidRPr="00000000" w:rsidDel="00000000">
        <w:rPr>
          <w:rtl w:val="0"/>
        </w:rPr>
        <w:t xml:space="preserve">Ietekme uz sabiedrības grupām, ietekme uz tautsaimniecības attīstību un administratīvo slogu  ir noteikta likumā “Par piesārņojumu” anotācijas 2. sadaļā.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grafiku kādā kuģošanas sabiedrībai ir jānodod emisijas kvotu apjoms par 2024., 2025., 2026. gada un turpmāk, kas ietekmēs nozares konkurētspēju.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regulējumu, kas ietekmēs kuģošanas sabiedrības finansiālo stāvokli un radīs papildus administratīvo slogu.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Kuģošanas sabiedrības uz kurām ir attiecināms ES ETS būs jānodod emisijas kvotas par katru emitēto CO</w:t>
      </w:r>
      <w:r w:rsidR="00000000" w:rsidRPr="00000000" w:rsidDel="00000000">
        <w:rPr>
          <w:vertAlign w:val="subscript"/>
          <w:rtl w:val="0"/>
        </w:rPr>
        <w:t xml:space="preserve">2</w:t>
      </w:r>
      <w:r w:rsidR="00000000" w:rsidRPr="00000000" w:rsidDel="00000000">
        <w:rPr>
          <w:rtl w:val="0"/>
        </w:rPr>
        <w:t xml:space="preserve">. Papildus šīs kuģošanas sabiedrības būs spiestas pārkārotites uz atjaunīgo vai mazoglekļa degvielu izmantošanu, vai veicināt ilgtspējīgu tehnoloģiju izmantošanu, lai samazinātu emisijas kvotu apjomu.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valsts budžetu un pašvaldību budžetiem ir noteikta likumā “Grozījumi likumā “Par piesārņojumu””, kas stājies spēkā 18.10.2025, anotācijas 3. sadaļā norādītā informācija ir attiecināma uz noteikumu projektu. Noteikumu projekta normu ieviešana tiks nodrošināta iesaistīto institūciju esošo budžeta līdzekļu ietvaros, neradot negatīvu ietekmi uz valsts budžetu. Atbilstoši Klimata un enerģētikas ministrija priekšlikumam likuma “Par valsts budžetu 2026. gadam un budžeta ietvaru 2026., 2027. un 2028. gadam” sagatavošanas procesā attiecīgās programmas finansējums pilnā apmērā pārdalīts no  budžeta programmas 01.00.00 “Valsts pētījumi klimata un enerģētikas jomā” uz budžeta programmu 97.00.00 “Nozaru vadība un politikas plānošana”.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32023L0959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 gada 10. maija direktīva (ES) Nr. 2023/959, ar ko groza Direktīvu 2003/87/EK, lai sekmētu emisiju izmaksefektīvu samazināšanu un investīcijas mazoglekļa risinājumos, un Lēmumu (ES) 2015/1814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direktīvu groza Direktīvu 2003/87/EK, lai sekmētu emisiju izmaksefektīvu samazināšanu un investīcijas mazoglekļa risinājumos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02016ME/TXT-20240901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par Eiropas Savienību un Līguma par Eiropas Savienības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Nosaka Eiropas Savienības pamatprincipus un mērķus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02023D2895-20250101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Īstenošanas 2023. gada 19. decembra lēmums (ES) Nr. 2023/2895, ar ko nosaka Eiropas Parlamenta un Padomes Direktīvas 2003/87/EK 12. panta 3.-d punktā minēto salu un ostu sarakstu un minētās direktīvas 12. panta 3.-c punktā minēto starptautisku publisko pakalpojumu līgumu vai starptautisku sabiedrisko pakalpojumu saistību sarakstu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Īstenošanas lēmumu precizē, uz kuriem maršrutiem un pakalpojumiem attiecas vai var neattiekties noteikti ES ETS pienākumi kuģniecībā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HELCOM rekomendācija 25/7 (pielikums)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Rekomendācijas ir paredzētas, lai sniegtu norādījumus Helsinku konvencijas Līgumslēdzēju pusēm par ledus klases noteikšanas noteikumu līdzvērtības nodrošināšanu, drošības prasību noteikšanu kuģiem, kas kuģo ledus apstākļos, utt.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2023. gada 10. maija direktīva (ES) Nr. 2023/959, ar ko groza Direktīvu 2003/87/EK, lai sekmētu emisiju izmaksefektīvu samazināšanu un investīcijas mazoglekļa risinājumos, un Lēmumu (ES) 2015/1814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3. punkta “d” apakšpunktā izteiktais  3. panta ”aa”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4.1.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ieviests, paredzot stingrākas vai mazāk stingras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7. punktā izteiktā 3.gb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ieviests, paredzot stingrākas vai mazāk stingras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21. punkta “d” apakšpunktā izteiktais 12. panta 3.-e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punkts un 1.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ieviests, paredzot stingrākas vai mazāk stingras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21. punkta “d” apakšpunktā izteiktais 12. panta 3.-d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4.1.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ieviests, paredzot stingrākas vai mazāk stingras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21. punkta “d” apakšpunktā izteiktais 12. panta 3.-c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4.2.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ieviests, paredzot stingrākas vai mazāk stingras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21. punkta “d” apakšpunktā izteiktais 12. panta 3.-b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ieviests, paredzot stingrākas vai mazāk stingras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Direktīvas 2023/959 prasības 3.ga panta 1. punkts ir pārņemts ar likuma "Par piesārņojumu" 32.</w:t>
            </w:r>
            <w:r w:rsidR="00000000" w:rsidRPr="00000000" w:rsidDel="00000000">
              <w:rPr>
                <w:sz w:val="24"/>
                <w:vertAlign w:val="superscript"/>
                <w:rtl w:val="0"/>
              </w:rPr>
              <w:t xml:space="preserve">22</w:t>
            </w:r>
            <w:r w:rsidR="00000000" w:rsidRPr="00000000" w:rsidDel="00000000">
              <w:rPr>
                <w:sz w:val="24"/>
                <w:rtl w:val="0"/>
              </w:rPr>
              <w:t xml:space="preserve"> panta otro daļu. Direktīvas 2023/959 3.ga panta 2. un 3. punkts saskaņā ar Eiropas Komisijas transponēšanas tabulām nav dalībvalstīm jātransponē, jo ar šiem punktiem nosaka pienākumus, kurus pilda Eiropas Komisija;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Noteikumu projekta 4. punktu transponē Direktīvas 2023/959 3.gb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Direktīvas 2023/959 3.gd pants ir transponēts ar likuma "Par piesārņojumu" 32.</w:t>
            </w:r>
            <w:r w:rsidR="00000000" w:rsidRPr="00000000" w:rsidDel="00000000">
              <w:rPr>
                <w:sz w:val="24"/>
                <w:vertAlign w:val="superscript"/>
                <w:rtl w:val="0"/>
              </w:rPr>
              <w:t xml:space="preserve">23</w:t>
            </w:r>
            <w:r w:rsidR="00000000" w:rsidRPr="00000000" w:rsidDel="00000000">
              <w:rPr>
                <w:sz w:val="24"/>
                <w:rtl w:val="0"/>
              </w:rPr>
              <w:t xml:space="preserve"> panta pirmo un otro daļu. Direktīvas 2023/959 3.ge pants transponēts ar likuma 32.</w:t>
            </w:r>
            <w:r w:rsidR="00000000" w:rsidRPr="00000000" w:rsidDel="00000000">
              <w:rPr>
                <w:sz w:val="24"/>
                <w:vertAlign w:val="superscript"/>
                <w:rtl w:val="0"/>
              </w:rPr>
              <w:t xml:space="preserve">23</w:t>
            </w:r>
            <w:r w:rsidR="00000000" w:rsidRPr="00000000" w:rsidDel="00000000">
              <w:rPr>
                <w:sz w:val="24"/>
                <w:rtl w:val="0"/>
              </w:rPr>
              <w:t xml:space="preserve">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Direktīvas 2023/959 12. panta 3.-e punkta pirmā rindkopa ir transponēta ar noteikumu projekta 3. punktu. 12. panta 3.-e punkta otrā rindkopa saskaņā ar Eiropas Komisijas transponēšanas tabulām nav dalībvalstīm jātransponē. Direktīvas 2023/959 12. 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- 2. punkta prasības ir transponētas likuma "Par piesārņojumu" 32.</w:t>
            </w:r>
            <w:r w:rsidR="00000000" w:rsidRPr="00000000" w:rsidDel="00000000">
              <w:rPr>
                <w:sz w:val="24"/>
                <w:vertAlign w:val="superscript"/>
                <w:rtl w:val="0"/>
              </w:rPr>
              <w:t xml:space="preserve">27</w:t>
            </w:r>
            <w:r w:rsidR="00000000" w:rsidRPr="00000000" w:rsidDel="00000000">
              <w:rPr>
                <w:sz w:val="24"/>
                <w:rtl w:val="0"/>
              </w:rPr>
              <w:t xml:space="preserve"> panta trešajā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- 3. punkta prasības ir transponētas likuma "Par piesārņojumu" 32.</w:t>
            </w:r>
            <w:r w:rsidR="00000000" w:rsidRPr="00000000" w:rsidDel="00000000">
              <w:rPr>
                <w:sz w:val="24"/>
                <w:vertAlign w:val="superscript"/>
                <w:rtl w:val="0"/>
              </w:rPr>
              <w:t xml:space="preserve">27</w:t>
            </w:r>
            <w:r w:rsidR="00000000" w:rsidRPr="00000000" w:rsidDel="00000000">
              <w:rPr>
                <w:sz w:val="24"/>
                <w:rtl w:val="0"/>
              </w:rPr>
              <w:t xml:space="preserve"> panta ceturtajā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12. panta 3.-a punkts saskaņā ar Eiropas Komisijas transponēšanas tabulām nav dalībvalstīm jātransponē, jo Eiropas Komisija to ievieš caur Komisijas Deleģētā regula (ES) 2019/1122 (2019. gada 12. marts), ar ko attiecībā uz Savienības reģistra darbību papildina Eiropas Parlamenta un Padomes Direktīvu 2003/87/EK.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Līguma par Eiropas Savienību un Līguma par Eiropas Savienības darbību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349. un 355.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ieviests, paredzot stingrākas vai mazāk stingras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Īstenošanas 2023. gada 19. decembra lēmums (ES) Nr. 2023/2895, ar ko nosaka Eiropas Parlamenta un Padomes Direktīvas 2003/87/EK 12. panta 3.-d punktā minēto salu un ostu sarakstu un minētās direktīvas 12. panta 3.-c punktā minēto starptautisku publisko pakalpojumu līgumu vai starptautisku sabiedrisko pakalpojumu saistību sarakstu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un 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un 3.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ieviests, paredzot stingrākas vai mazāk stingras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HELCOM rekomendācija 25/7 (pielikums)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Satiksmes ministrija, Valsts vides dienests, VSIA "Latvijas Jūras administrācija", VSIA "Latvijas Vides, ģeoloģijas un meteoroloģijas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https://tapportals.mk.gov.lv/public_participation/0d43107c-28c6-4399-93d4-5f694cd238df</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ietvaros viedokļi un komentāri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transporta darbības emitētās emisijas ievērojami ietekmē vidi, galvenokārt izraisot gaisa un ūdens piesārņojumu, trokšņu piesārņojumu, kā arī veicina klimata pārmaiņas. Jūras transporta darbības emitē ievērojamu CO₂, CH</w:t>
      </w:r>
      <w:r w:rsidR="00000000" w:rsidRPr="00000000" w:rsidDel="00000000">
        <w:rPr>
          <w:vertAlign w:val="subscript"/>
          <w:rtl w:val="0"/>
        </w:rPr>
        <w:t xml:space="preserve">4</w:t>
      </w:r>
      <w:r w:rsidR="00000000" w:rsidRPr="00000000" w:rsidDel="00000000">
        <w:rPr>
          <w:rtl w:val="0"/>
        </w:rPr>
        <w:t xml:space="preserve"> un N</w:t>
      </w:r>
      <w:r w:rsidR="00000000" w:rsidRPr="00000000" w:rsidDel="00000000">
        <w:rPr>
          <w:vertAlign w:val="subscript"/>
          <w:rtl w:val="0"/>
        </w:rPr>
        <w:t xml:space="preserve">2</w:t>
      </w:r>
      <w:r w:rsidR="00000000" w:rsidRPr="00000000" w:rsidDel="00000000">
        <w:rPr>
          <w:rtl w:val="0"/>
        </w:rPr>
        <w:t xml:space="preserve">O apjomu, kas veicina klimata pārmaiņas.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ierobežotu ietekmi uz vidi un nodrošinātu kontrolētu darbību gan jūras transportam, kas ir ietverts ES ETS, gan jūras transportam, kas pilda tikai monitoringa, ziņošanas un verifikācijas pienākumus, ir vajadzīga vienota kārtība kādā ES tiek veikts monitorings, ziņošana un verifikācija minētās darbības. Ministru kabineta noteikumu projekts veicinās piesārņojošu darbību samazināšanu, klimata pārmaiņu mazināšanu un vides aizsardzību.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veicinās Latvijas klimatneitralitātes mērķa sasniegšanu līdz 2050. gadam, kas papildinās jau esošo Latvijas regulējumu. Papildus, noteikumu projektā noteiktās normas palīdzēs samazināt SEG emisijas kuģniecības nozarē.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24-TA-902</w:t>
    </w:r>
    <w:r>
      <w:br/>
    </w:r>
    <w:r w:rsidR="00000000" w:rsidRPr="00000000" w:rsidDel="00000000">
      <w:rPr>
        <w:rtl w:val="0"/>
      </w:rPr>
      <w:t xml:space="preserve">Izdrukāts 30.07.2026. 00.22 - 6.0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24-TA-902</w:t>
    </w:r>
    <w:r>
      <w:br/>
    </w:r>
    <w:r w:rsidR="00000000" w:rsidRPr="00000000" w:rsidDel="00000000">
      <w:rPr>
        <w:rtl w:val="0"/>
      </w:rPr>
      <w:t xml:space="preserve">Izdrukāts 30.07.2026. 00.22 - 6.0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anotācija_(ex_ante)_24-TA-902.docx</dc:title>
</cp:coreProperties>
</file>

<file path=docProps/custom.xml><?xml version="1.0" encoding="utf-8"?>
<Properties xmlns="http://schemas.openxmlformats.org/officeDocument/2006/custom-properties" xmlns:vt="http://schemas.openxmlformats.org/officeDocument/2006/docPropsVTypes"/>
</file>