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9. maija noteikumos Nr. 239 "Valsts un Eiropas Savienības atbalsta piešķiršanas kārtība pasākumā "Kontrole un noteikumu izpilde"""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9. maija noteikumos Nr. 239 "Valsts un Eiropas Savienības atbalsta piešķiršanas kārtība pasākumā "Kontrole un noteikumu izpilde""" (turpmāk – noteikumu projekts) ir sagatavots, pamatojoties uz Lauksaimniecības un lauku attīstības likuma 5. panta ceturto un septīto daļu, kā arī saskaņā ar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atbalstu zvejniecības komersantiem, biedrībām un ražotāju organizācijām, svēršanas sistēmu, aprīkojuma un kontroles instrumentu iegādei un uzstādīšanai ostās vai Pārtikas un veterinārajā dienestā reģistrētās zvejas produktu izkraušanas vietās saskaņā ar regulu 2024/1474.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nozvejas paziņošanas pareizību un vajadzīgo kontroli, Komisijas 2024. gada 24. maija Īstenošanas regulas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2024/1474) 2. pantā noteikts, kuriem nosacījumiem jāatbilst Savienības ostām, lai tās būtu saskanīgas un iekļaujamas ar Kontroles regulas 14. panta 6. punktu izveidotā ostu sarakstā. Tādējādi minētajā sarakstā ostu drīkst iekļaut tikai tad, ja tā ir aprīkota ar regulas 2024/1474 2. pantā minētajām svēršanas sistēmām, aprīkojumu un kontroles instrumentiem, kas nodrošina nozvejas paziņošanas pareizību un vajadzīgo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2023. gada 9. maija noteikumi Nr. 239 "Valsts un Eiropas Savienības atbalsta piešķiršanas kārtība pasākumā "Kontrole un noteikumu izpilde"" (turpmāk – noteikumi Nr. 239) neparedz atbalstu zvejniecības komersantiem, biedrībām un ražotāju organizācijām atbilstoša aprīkojuma iegādei, lai nodrošinātu kontroles prasības. Spēkā esošajos noteikumos Nr. 239 atbalsts ir paredzēts tikai Zemkopības ministrijai un valsts pārvaldes iestādei, kas normatīvajos aktos noteiktajā kārtībā ir iesaistīta zvejas, zivju izkraušanas, tirdzniecības, transporta, uzglabāšanas vai ražošanas kontrolē vai nelegālas, nereģistrētas un neregulētas zvejas apkarošanā.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saskaņā ar noteikumiem Nr. 239 varētu sniegt atbalstu arī zvejniecības komersantiem, biedrībām un ražotāju organizācijām, svēršanas sistēmu, aprīkojuma un kontroles instrumentu iegādei un uzstādīšanai ostās vai Pārtikas un veterinārajā dienestā reģistrētās zvejas produktu izkraušanas vietās saskaņā ar regulas 2024/1474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239 4. punktā ir pievienoti vairāki jauni atbalsta pretendenti – komersants, zemnieku vai zvejnieku saimniecība, ja to komercdarbības joma ir zvejniecība, biedrība, kura vismaz gadu pirms projekta iesnieguma iesniegšanas ir reģistrēta saskaņā ar Biedrību un nodibinājumu likumu un kuras biedru (vismaz triju) komercdarbības joma ir zvejniecība, vai ražotāju organizācija, kas atzīta saskaņā ar normatīvajiem aktiem par zvejas un akvakultūras produktu ražotāju grupu atzīšanas kritērijiem, darbības nosacījumiem un darbības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239 2. punktu pasākuma mērķis atbilstoši regulas 2021/1139 14. panta 1. punkta "d" apakšpunktam ir veicināt efektīvu zvejas īstenošanu un kontroli, tostarp nelegālas, nereģistrētas un neregulētas zvejas apkarošanu. Atbalsts noteikumu projektā paredzētajiem jaunajiem atbalsta pretendentiem paredzēts aprīkojuma iegādei, lai nodrošinātu kontroles prasības, tādā veidā sniedzot ieguldījumu pasākuma mērķa izpildē saistībā ar efektīvākas zvejas kontroles veicināšanu un nereģistrētas zvejas apkarošanu. Tā, piemēram, platformsvaru vai celtņsvaru sistēmu iegāde ļaus atbalsta pretendentiem korekti nosvērt un reģistrēt nozvejoto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jaunajiem atbalsta saņēmējiem būs no finanšu viedokļa mazāki projekti salīdzinājumā ar valsts iestādēm, lai sekmētu virzību uz rezultātu sasniegšanu no izmaksu viedokļa nelielām darbībām, tādējādi veicinot efektīvāku finansējuma piesaisti, samazinātu administratīvo slogu atbalsta saņēmējam projekta izmaksu uzskaitei un maksājuma pieprasījumu pamatojošās dokumentācijas sagatavošanai, kā arī administratīvo slogu projektu izmaksu dokumentācijas pārbaudēs, t. i., vienkāršojot projektu faktisko izmaksu uzskaiti, pārejot no finanšu dokumentu pārbaudes uz sasniegto rezultātu pārbaudi, kā arī samazinātu kļūdu rašanās iespēju izmaksu pamatojošās dokumentācijas pārbaudēs, noteikumu projekts paredz ieviest fiksētas summas maksājumu ar budžeta projekta aprēķina metodi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 panta 1. punkta "c" apakšpunktu un 3. punkta "b" apakšpunktu jauno atbalsta saņēmēju projektiem ar attiecināmo izmaksu kopsummu līdz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239 papildināti ar 8.</w:t>
      </w:r>
      <w:r w:rsidR="00000000" w:rsidRPr="00000000" w:rsidDel="00000000">
        <w:rPr>
          <w:vertAlign w:val="superscript"/>
          <w:rtl w:val="0"/>
        </w:rPr>
        <w:t xml:space="preserve">1</w:t>
      </w:r>
      <w:r w:rsidR="00000000" w:rsidRPr="00000000" w:rsidDel="00000000">
        <w:rPr>
          <w:rtl w:val="0"/>
        </w:rPr>
        <w:t xml:space="preserve"> punktu, kas noteic, ka saskaņā ar regulas 2021/1060 53. panta  3. punkta "b" apakšpunktu atbalstu jauno atbalsta saņēmēju projektiem piešķir, izmantojot fiksētas summas maksājumu ar budžeta projekta aprēķina metodi. Savukārt 8.</w:t>
      </w:r>
      <w:r w:rsidR="00000000" w:rsidRPr="00000000" w:rsidDel="00000000">
        <w:rPr>
          <w:vertAlign w:val="superscript"/>
          <w:rtl w:val="0"/>
        </w:rPr>
        <w:t xml:space="preserve">2</w:t>
      </w:r>
      <w:r w:rsidR="00000000" w:rsidRPr="00000000" w:rsidDel="00000000">
        <w:rPr>
          <w:rtl w:val="0"/>
        </w:rPr>
        <w:t xml:space="preserve"> punkts nosaka atbalsta saņemšanas nosacījumus, ja tiek īstenots budžeta projekts, bet ar 8.</w:t>
      </w:r>
      <w:r w:rsidR="00000000" w:rsidRPr="00000000" w:rsidDel="00000000">
        <w:rPr>
          <w:vertAlign w:val="superscript"/>
          <w:rtl w:val="0"/>
        </w:rPr>
        <w:t xml:space="preserve">3</w:t>
      </w:r>
      <w:r w:rsidR="00000000" w:rsidRPr="00000000" w:rsidDel="00000000">
        <w:rPr>
          <w:rtl w:val="0"/>
        </w:rPr>
        <w:t xml:space="preserve"> punktu tiek noteiktas Lauku atbalsta dienesta darbības pirms budžeta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punktā pievienots nosacījums par to, kurš no regulas 2021/1139 1. pielikumā minētajiem rezultatīvajiem rādītājiem jaunajiem atbalsta pretendentiem ir jānorāda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darbībām publiskā atbalsta intensitātes likme 24.1 apakšpunktā ir noteikta 100% apmērā atbilstoši regulas 2021/1139 III pielikuma 7. punktam, savukārt 24.2 apakšpunktā tā noteikta 85% apmērā atbilstoši regulas 2021/1139 III pielikuma 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punktā ir noteiktas attiecināmās izmaksas saskaņā ar regulas 2024/1474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punktā noteikts, ka pasākuma īstenošanas vieta ir ostas vai Pārtikas un veterinārajā dienestā reģistrētās zvejas produktu izkraušanas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punktā ietverta atsauces norma uz regulas 2021/1139 11. pantu un regulu 2022/2181, lai pievērstu atbalsta pretendentu uzmanību tam, ka Lauku atbalsta dienests nevarēs piešķirt atbalstu atbalsta pretendentam, ja tas būs izdarījis regulas 2021/1139 11. pantā un regulā 2022/2181 minētos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punktā tiek noteiks budžeta projekta pabeigšanas brīdis, pēc kura Lauku atbalsta dienests izmaksā gala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iegūtie personas dati tiks uzglabāti atbilstoši Ministru kabineta 2023.gada 7.marta noteikumu Nr.113 "Valsts un Eiropas Savienības atbalsta piešķiršanas, administrēšanas un uzraudzības vispārējā kārtība lauku un zivsaimniecības attīstībai" 12.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citu Programmas zivsaimniecības attīstībai 2021.–2027. gadam atbalsta pasākumu īstenošanas pieredzi, noteikumos Nr. 239 ietverti nosacījumi par neattiecināmajām izmaksām, projekta uzraudzības periodu un pieteikšanās un finansējuma pieprasīšanas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239 3.punktu projektu iesniegumus vērtē un atlasa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jūlija grozījumi Ministru kabineta 2023. gada 7. marta noteikumos Nr. 113 "Valsts un Eiropas Savienības atbalsta piešķiršanas, administrēšanas un uzraudzības vispārējā kārtība lauku un zivsaimniecības attīstībai"" papildināja minētos noteikumus ar jaunu 14.2.</w:t>
      </w:r>
      <w:r w:rsidR="00000000" w:rsidRPr="00000000" w:rsidDel="00000000">
        <w:rPr>
          <w:vertAlign w:val="superscript"/>
          <w:rtl w:val="0"/>
        </w:rPr>
        <w:t xml:space="preserve">2 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2</w:t>
      </w:r>
      <w:r w:rsidR="00000000" w:rsidRPr="00000000" w:rsidDel="00000000">
        <w:rPr>
          <w:rtl w:val="0"/>
        </w:rPr>
        <w:t xml:space="preserve"> projektu iesniegumus, kas iesniegti saskaņā ar normatīvajiem aktiem par valsts un Eiropas Savienības atbalsta piešķiršanu pasākumam "Kontrole un noteikumu izpilde" un pasākumam "Datu vākšana un apstrāde zivsaimniecības pārvaldības un zinātniskiem mērķiem", kā arī par valsts un Eiropas Savienības atbalsta piešķiršanu integrētās jūrlietu politikas veicināšanai, vērtē pēc projektu atlases kritērijiem, kurus atbilstoši regulas 2021/1060 40. panta 2. punkta "a" apakšpunktam ir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 Projektus, kas atbilst projektu atlases kritērijiem, turpina vērtēt saskaņā ar šo noteikumu 14.4.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239 7. punkts, jo tiks piemēroti tie projektu atlases kritēriji, kurus būs apstiprinājusi Programmas zivsaimniecības attīstībai 2021.-2027. gadam uzraudzības komiteja saskaņā ar Ministru kabineta 2023. gada 7. marta noteikumu Nr. 113 "Valsts un Eiropas Savienības atbalsta piešķiršanas, administrēšanas un uzraudzības vispārējā kārtība lauku un zivsaimniecības attīstībai"" 14.2.</w:t>
      </w:r>
      <w:r w:rsidR="00000000" w:rsidRPr="00000000" w:rsidDel="00000000">
        <w:rPr>
          <w:vertAlign w:val="superscript"/>
          <w:rtl w:val="0"/>
        </w:rPr>
        <w:t xml:space="preserve">2</w:t>
      </w:r>
      <w:r w:rsidR="00000000" w:rsidRPr="00000000" w:rsidDel="00000000">
        <w:rPr>
          <w:rtl w:val="0"/>
        </w:rPr>
        <w:t xml:space="preserve">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239 20.5. apakšpunkts un 22. punkts paredz iepirkumu dokumentu iesniegšanu kopā ar projekta iesniegumu vai sešu mēnešu laikā pēc Lauku atbalsta dienesta lēmuma par projekta iesnieguma apstiprināšanu, ja ir būvniecības izmaksas. Tādējādi noteikumu Nr. 239 23.8. apakšpunkts, kurā vēlreiz noteikta iepirkumu dokumentu iesniegšana, ir lieks, jo nav nepieciešams otrreiz iesniegt iepirkumu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svītrots noteikumu Nr. 239 23.8.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3. un 4. punktā iekļautajiem grozījumiem, kas paredz paplašināt atbalsta pretendentu loku, nepieciešamais finansējums pasākuma "Kontrole un noteikumu izpilde" īstenošanai tiks nodrošināts no Programmas zivsaimniecības attīstībai 2021.–2027. gadam 1. prioritātes "Veicināt ilgtspējīgu zvejniecību un ūdens bioloģisko resursu atjaunošanu un saglabāšanu" attiecīgajam mērķim pieejamā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24.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32022R0079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24.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2024/1474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punktā izteiktais noteikumu Nr. 239 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2024/1474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239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noteikumu projektu netiek ieviesta regula Nr. 2024/1474, bet tiek izmantota atsauce uz regulas 2. pantu, lai noteiktu noteikumu projektā attiecināmās izmaksas, t. i., svēršanas sistēmu, aprīkojuma un kontroles instrumentu iegādes un uzstādīšanas izmaksas. No regulas 2024/1474 izrietošās tiesību normas tiek ieviestas ar citiem tiesību aktiem.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punktā izteiktais noteikumu Nr. 239 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punktā izteiktais noteikumu Nr. 239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punktā izteiktais noteikumu Nr. 239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239 27.10.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punktā izteiktais noteikumu Nr. 239 29.1.2.9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"c" apakšpunkts un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64. panta 1. 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239 27.7.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https://vktap.mk.gov.lv/public_participations/public_discussions/69da403e-98de-4485-be1d-8979236ac7ad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par noteikumu projektu un dotu iespēju izteikt viedokli, noteikumu projekts un tā anotācija no 2025. gada 3. līdz 17. septembrim bija pieejami sabiedriskajai apspriešanai Vienotajā tiesību aktu projektu izstrādes un saskaņošanas portālā. Ne iebildumi, ne priekšlikumi par sabiedrības līdzdalībai nodoto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25-TA-1913</w:t>
    </w:r>
    <w:r>
      <w:br/>
    </w:r>
    <w:r w:rsidR="00000000" w:rsidRPr="00000000" w:rsidDel="00000000">
      <w:rPr>
        <w:rtl w:val="0"/>
      </w:rPr>
      <w:t xml:space="preserve">Izdrukāts 29.07.2026. 23.18 - 6.0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25-TA-1913</w:t>
    </w:r>
    <w:r>
      <w:br/>
    </w:r>
    <w:r w:rsidR="00000000" w:rsidRPr="00000000" w:rsidDel="00000000">
      <w:rPr>
        <w:rtl w:val="0"/>
      </w:rPr>
      <w:t xml:space="preserve">Izdrukāts 29.07.2026. 23.18 - 6.0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anotācija_(ex_ante)_25-TA-1913.docx</dc:title>
</cp:coreProperties>
</file>

<file path=docProps/custom.xml><?xml version="1.0" encoding="utf-8"?>
<Properties xmlns="http://schemas.openxmlformats.org/officeDocument/2006/custom-properties" xmlns:vt="http://schemas.openxmlformats.org/officeDocument/2006/docPropsVTypes"/>
</file>