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 marta noteikumos Nr. 150 "Emisijas kvotu izsolīšanas instrumenta finansēto projektu atklāta konkursa "Siltumnīcefekta gāzu emisiju samazināšana mājsaimniecībās – atbalsts atjaunojamo energoresursu izmantošanai"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 marta noteikumos Nr. 150 "Emisijas kvotu izsolīšanas instrumenta finansēto projektu atklāta konkursa "Siltumnīcefekta gāzu emisiju samazināšana mājsaimniecībās – atbalsts atjaunojamo energoresursu izmantošanai" nolikums"" (turpmāk - noteikumu projekts) paredz veikt grozījumus Ministru kabineta 2022. gada 1. marta noteikumos Nr. 150 "Emisijas kvotu izsolīšanas instrumenta finansēto projektu atklāta konkursa "Siltumnīcefekta gāzu emisiju samazināšana mājsaimniecībās – atbalsts atjaunojamo energoresursu izmantošanai" nolikums" (turpmāk – MK noteikumi), lai papildinātu projektu konkursu ar jaunu atbalstāmo aktivitāti, palielinātu kopējo finansējuma apjomu, precizētu atsevišķas tiesību normas atbilstoši spēkā esošajiem nosacījumiem saistītajos normatīvajos aktos, kā arī, lai precizētu valsts atbalsta nosacījumus, ņemot vērā 2023.gada 13.decembra Komisijas regulu (ES) 2023/2831 </w:t>
      </w:r>
      <w:r w:rsidR="00000000" w:rsidRPr="00000000" w:rsidDel="00000000">
        <w:rPr>
          <w:i w:val="1"/>
          <w:rtl w:val="0"/>
        </w:rPr>
        <w:t xml:space="preserve">par Līguma par Eiropas Savienības darbību 107. un 108. panta piemērošanu de minimis atbalstam </w:t>
      </w:r>
      <w:r w:rsidR="00000000" w:rsidRPr="00000000" w:rsidDel="00000000">
        <w:rPr>
          <w:rtl w:val="0"/>
        </w:rPr>
        <w:t xml:space="preserve">(turpmāk - Regula Nr. 2023/2831)</w:t>
      </w:r>
      <w:r w:rsidR="00000000" w:rsidRPr="00000000" w:rsidDel="00000000">
        <w:rPr>
          <w:i w:val="1"/>
          <w:rtl w:val="0"/>
        </w:rPr>
        <w:t xml:space="preserve">,</w:t>
      </w:r>
      <w:r w:rsidR="00000000" w:rsidRPr="00000000" w:rsidDel="00000000">
        <w:rPr>
          <w:rtl w:val="0"/>
        </w:rPr>
        <w:t xml:space="preserve"> projektu konkursa "Siltumnīcefekta gāzu emisiju samazināšana mājsaimniecībās – atbalsts atjaunojamo energoresursu izmantošanai" (turpmāk - projektu konkurss) ieviešanā.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grozījumus MK noteikumos, lai paplašināt pretendentu (iedzīvotāju) loku, kas varētu saņemt atbalstu atjaunīgo energoresursu iekārtu iegādei vai pieslēguma izveidei centralizētai siltumapgādes sistēmai, precizētu nosacījumus attiecībā uz kopējā finansiālā atbalsta pieejamību, tiesību normas nepareizas interpretācijas riska novēršanu, kā arī precizētu valsts atbalsta regulējuma (atbalsta piešķiršana saimnieciskās darbības veicējiem) piemērošanas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MK noteikumu redakciju nepieciešams precizēt un papildināt, lai konkursā varētu piedalīties plašāks projektu iesniedzēju loks, dodot iespēju iedzīvotājiem īstenot konkursa ietvaros atbalstāmās aktivitātes – uzstādīt atjaunīgos energoresursus izmantojošas elektroenerģiju un siltumenerģiju ražojošas iekārtas, vai arī pieslēgties pie centralizētās siltumapgādes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20. janvārim konkursa ietvaros ir iesniegti 9743 projektu iesniegumi par kopējo pieprasīto finanšu instrumenta summu 34 356 591,76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izvēlētie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koksnes biomasas katls, kas piemērots granulu kurināmajam - 125;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saules kolektoru sistēma ar akumulācijas tvertni - 14;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siltumsūknis (zeme-ūdens tipa)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siltumsūknis (gaiss-ūdens tipa) - 741;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siltumsūknis (gaiss-gaiss tipa) - 27;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saules elektrostacija - 9227;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vēja elektrostacija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Mājsaimniecības pieslēguma centralizētajai siltumapgādes sistēmai projektēšana un siltummezgla izveide - 18.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norādītais aizstājamais apkures  kurināmā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gāze - 697;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dīzeļdegviela - 50;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ogles - 39;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sašķidrinātā gāze - 31.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statistiskā informācija par sniegto atbalstu konkursa ietvaros ir pieejama tīmekļa vietnē - https://ekii.lv/index.php?page=atbalsts-majsaimniecibam.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16.</w:t>
      </w:r>
      <w:r w:rsidR="00000000" w:rsidRPr="00000000" w:rsidDel="00000000">
        <w:rPr>
          <w:vertAlign w:val="superscript"/>
          <w:rtl w:val="0"/>
        </w:rPr>
        <w:t xml:space="preserve">2 </w:t>
      </w:r>
      <w:r w:rsidR="00000000" w:rsidRPr="00000000" w:rsidDel="00000000">
        <w:rPr>
          <w:rtl w:val="0"/>
        </w:rPr>
        <w:t xml:space="preserve">punktam, ja projekta iesniedzējs MK noteikumu 16. punktā minētās aktivitātes veic dzīvojamā mājā vai daudzdzīvokļu mājā, kas tiek izmantota saimnieciskajā darbībā, un dzīvojamās mājas  vai daudzdzīvokļu mājas dzīvokļa īpašnieks pretendē uz atbalstu, kas kvalificējams kā komercdarbības atbalsts, tad atbalstu konkursa ietvaros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Savukārt 2023.gada 13.decembrī ir apstiprināta Regula Nr. 2023/2831, kas stājās spēkā ar 2024.gada 1.janvāri un attiecīgie nosacījumi (atbalsta piešķiršana saimnieciskas darbības veicējiem) būs spēkā pēc 2024.gada 30.jūnija. Līdz ar to MK noteikumi jāpielāgo jaunajiem Regulas Nr. 2023/2831 nosacījumiem, kas būs spēkā pēc 2024.gada 30.jūnija.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paredz projekta konkursa ietvaros sniegt atbalstu siltumenerģijas vai elektroenerģijas ražošanas iekārtu iegādei, lai nodrošinātu siltumenerģijas vai elektroenerģijas ražošanu un piegādi mājsaimniecības vajadzībām, un mājsaimniecību pieslēgumu izveidošanu centralizētajai siltumapgādes sistēmai. Ņemot vērā mājsaimniecību augsto interesi un, lai paplašinātu atbalsta saņēmēju loku, Ministru kabinets 2023.gada 13. jūnijā pieņēma grozījumus MK noteikumos, paredzot, tajā skaitā, ka projekta iesniedzējs par vienu māju var iesniegt ne vairāk par vienu projekta iesniegumu par katru no konkursa ietvaros atbalstāmajām aktivitātēm, proti, projekta iesniedzējs var iesniegt vairākus projektu iesniegumus (ar dažādām atjaunīgo energoresursu iekārtām) par vienu māju, kas ļauj tam vairākas reizes piedalīties konkursā un pretendēt uz atbalsta saņemšanu. Šāds risinājums ļauj iedzīvotājiem efektīvāk plānot izmaksas par atjaunīgo energoresursu iekārtu iegādi un pilnveidot mājas energosistēmu pakāpeniski, ņemot vērā savu maksātspēju. MK noteikumu 10. punktā ietvertā norma, izmantojot gramatisko tulkošanas metodi, paredz, ka “</w:t>
      </w:r>
      <w:r w:rsidR="00000000" w:rsidRPr="00000000" w:rsidDel="00000000">
        <w:rPr>
          <w:i w:val="1"/>
          <w:rtl w:val="0"/>
        </w:rPr>
        <w:t xml:space="preserve">N</w:t>
      </w:r>
      <w:r w:rsidR="00000000" w:rsidRPr="00000000" w:rsidDel="00000000">
        <w:rPr>
          <w:rtl w:val="0"/>
        </w:rPr>
        <w:t xml:space="preserve"> māju īpašnieks var iesniegt ne vairāk kā 6 atsevišķus projekta iesniegumus (pa vienam par katru no MK noteikumu 16. punkta apakšpunktiem) par katru vienu no viņam piederošajām </w:t>
      </w:r>
      <w:r w:rsidR="00000000" w:rsidRPr="00000000" w:rsidDel="00000000">
        <w:rPr>
          <w:i w:val="1"/>
          <w:rtl w:val="0"/>
        </w:rPr>
        <w:t xml:space="preserve">N</w:t>
      </w:r>
      <w:r w:rsidR="00000000" w:rsidRPr="00000000" w:rsidDel="00000000">
        <w:rPr>
          <w:rtl w:val="0"/>
        </w:rPr>
        <w:t xml:space="preserve"> mājām”.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konkursa ietvaros pieejamo finansējuma apjomu, ģeopolitisko situāciju, energoresursu cenas un iedzīvotāju interesi iegādāties un uzstādīt atjaunīgo energoresursu izmantojošas iekārtas enerģijas ražošanai, nepieciešams paplašināt atbalstāmo darbību loku, lai pēc iespējas vairāk iedzīvotāju varētu saņemt atbalstu konkursa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Nr. 1407/2013 zaudēs spēku ar 2024.gada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10.punktu ir konstatētas nepareizas interpretācijas riska iespējas attiecībā uz spēkā esošo tiesību normu.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4.punkts tiek grozīts, lai palielinātu konkursā pieejamo finansējuma apjomu par 5 milj. euro, līdz ar to kopējais konkursa ietvaros pieejamais atbalsts būs 45 milj. euro. Šobrīd vērojama iedzīvotāju pastiprināta interese par atjaunīgo energoresursu iekārtu iegādi un uzstādīšanu, kā arī MK noteikumu projekts paredz paplašināt atbalstāmo darbību loku. Vienlaikus aktīva atjaunīgo energoresursu iekārtu iegāde un izmantošana mazinās importētās enerģijas apjomu un mazinās siltumnīcefekta gāzu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9.4.apakšpunkts un 1.pielikums tiek grozīts, lai precizētu nosacījumu attiecībā uz elektroenerģijas neto un norēķinu sistēmu izmantošanu, t.sk. neparedzot maksimālo saules elektrostaciju un vēja elektrostaciju uzstādīšanas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10.punkts tiek grozīts, lai novērstu nepareizas interpretācijas risku.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w:t>
      </w:r>
      <w:r w:rsidR="00000000" w:rsidRPr="00000000" w:rsidDel="00000000">
        <w:rPr>
          <w:vertAlign w:val="superscript"/>
          <w:rtl w:val="0"/>
        </w:rPr>
        <w:t xml:space="preserve">2</w:t>
      </w:r>
      <w:r w:rsidR="00000000" w:rsidRPr="00000000" w:rsidDel="00000000">
        <w:rPr>
          <w:rtl w:val="0"/>
        </w:rPr>
        <w:t xml:space="preserve">, 16.</w:t>
      </w:r>
      <w:r w:rsidR="00000000" w:rsidRPr="00000000" w:rsidDel="00000000">
        <w:rPr>
          <w:vertAlign w:val="superscript"/>
          <w:rtl w:val="0"/>
        </w:rPr>
        <w:t xml:space="preserve">5</w:t>
      </w:r>
      <w:r w:rsidR="00000000" w:rsidRPr="00000000" w:rsidDel="00000000">
        <w:rPr>
          <w:rtl w:val="0"/>
        </w:rPr>
        <w:t xml:space="preserve">1., 16.</w:t>
      </w:r>
      <w:r w:rsidR="00000000" w:rsidRPr="00000000" w:rsidDel="00000000">
        <w:rPr>
          <w:vertAlign w:val="superscript"/>
          <w:rtl w:val="0"/>
        </w:rPr>
        <w:t xml:space="preserve">5</w:t>
      </w:r>
      <w:r w:rsidR="00000000" w:rsidRPr="00000000" w:rsidDel="00000000">
        <w:rPr>
          <w:rtl w:val="0"/>
        </w:rPr>
        <w:t xml:space="preserve">2., 16.</w:t>
      </w:r>
      <w:r w:rsidR="00000000" w:rsidRPr="00000000" w:rsidDel="00000000">
        <w:rPr>
          <w:vertAlign w:val="superscript"/>
          <w:rtl w:val="0"/>
        </w:rPr>
        <w:t xml:space="preserve">9</w:t>
      </w:r>
      <w:r w:rsidR="00000000" w:rsidRPr="00000000" w:rsidDel="00000000">
        <w:rPr>
          <w:rtl w:val="0"/>
        </w:rPr>
        <w:t xml:space="preserve">, 16.</w:t>
      </w:r>
      <w:r w:rsidR="00000000" w:rsidRPr="00000000" w:rsidDel="00000000">
        <w:rPr>
          <w:vertAlign w:val="superscript"/>
          <w:rtl w:val="0"/>
        </w:rPr>
        <w:t xml:space="preserve">10</w:t>
      </w:r>
      <w:r w:rsidR="00000000" w:rsidRPr="00000000" w:rsidDel="00000000">
        <w:rPr>
          <w:rtl w:val="0"/>
        </w:rPr>
        <w:t xml:space="preserve"> un 16.</w:t>
      </w:r>
      <w:r w:rsidR="00000000" w:rsidRPr="00000000" w:rsidDel="00000000">
        <w:rPr>
          <w:vertAlign w:val="superscript"/>
          <w:rtl w:val="0"/>
        </w:rPr>
        <w:t xml:space="preserve">11</w:t>
      </w:r>
      <w:r w:rsidR="00000000" w:rsidRPr="00000000" w:rsidDel="00000000">
        <w:rPr>
          <w:rtl w:val="0"/>
        </w:rPr>
        <w:t xml:space="preserve">. punkti tiek grozīti, lai nodrošinātu atbilstību valsts atbalsta (de minimis) nosacījumiem saskaņā ar Komisijas 2023.gada 13.decembrī pieņemto Regulu Nr.2023/2831.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tiek papildināti ar 15.</w:t>
      </w:r>
      <w:r w:rsidR="00000000" w:rsidRPr="00000000" w:rsidDel="00000000">
        <w:rPr>
          <w:vertAlign w:val="superscript"/>
          <w:rtl w:val="0"/>
        </w:rPr>
        <w:t xml:space="preserve">1</w:t>
      </w:r>
      <w:r w:rsidR="00000000" w:rsidRPr="00000000" w:rsidDel="00000000">
        <w:rPr>
          <w:rtl w:val="0"/>
        </w:rPr>
        <w:t xml:space="preserve"> punktu, paredzot jaunās atbalstāmās darbības (16.6.apakšpunkts), ko drīkst īstenot vienlaikus ar šo noteikumu  16.2.apakšpunktā minēto aktivitāti (saules paneļu vai vēja ģeneratoru iegādi), atbalsta intensitāti un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 19.1., 24.2.apakšpunkts un 2.pielikums tiek grozīts, lai sniegtu atsauci uz jauno atbalstāmo aktivitāti, kas minēta noteikumu projektā, papildinot MK noteikumus ar 16.6.apakšpunktu.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papildināti ar 16.6.apakšpunktu, kas paredz jaunas atbalsta aktivitātes ieviešanu. Elektroenerģijas uzkrāšanas iekārta ir iespēja nodrošināt dzīvojamajā mājā saražotās elektroenerģijas (no saules elektrostacijām un vēja elektrostacijām) uzkrāšanu un nenodošanu kopējā tīklā, t.i. izmantot dienas laikā saražoto elektroenerģiju patērēt vakara un nakts stundās. Elektroenerģijas uzkrāšanas iekārtas ietilpība 5 kWh apjomā noteikta ņemot vērā projektu konkursa ietvaros atbalstīto saules elektrostaciju vidējo uzstādīto jaudu (8-9kW) un tīklā nodoto elektroenerģijas apjomu (ap 70%). Savukārt izmaksu apjoms 2500 EUR apmērā noteikts, ņemot vērā publiski pieejamo informāciju un pieņemot, ka elektroenerģijas uzkrāšanas iekārtas ar ietilpību 1 kWh izmaksas atbilst 500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papildināti ar 59.punktu, paredzot, ka 9.4.2.apakšpunkts stājas spēkā ar 2024.gada 1.maiju, kas ir saskaņots termiņš ar neto sistēmas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2023/2831 (2023. gada 13. decembris)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2023/2831 (2023. gada 13. decembris)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2023/2831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1.panta 1.punkts un 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7.panta 3.punkts un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2023/2831 6.panta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2023/2831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23-TA-3312</w:t>
    </w:r>
    <w:r>
      <w:br/>
    </w:r>
    <w:r w:rsidR="00000000" w:rsidRPr="00000000" w:rsidDel="00000000">
      <w:rPr>
        <w:rtl w:val="0"/>
      </w:rPr>
      <w:t xml:space="preserve">Izdrukāts 29.07.2026. 22.24 - 1.0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23-TA-3312</w:t>
    </w:r>
    <w:r>
      <w:br/>
    </w:r>
    <w:r w:rsidR="00000000" w:rsidRPr="00000000" w:rsidDel="00000000">
      <w:rPr>
        <w:rtl w:val="0"/>
      </w:rPr>
      <w:t xml:space="preserve">Izdrukāts 29.07.2026. 22.24 - 1.0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anotācija_(ex_ante)_23-TA-3312.docx</dc:title>
</cp:coreProperties>
</file>

<file path=docProps/custom.xml><?xml version="1.0" encoding="utf-8"?>
<Properties xmlns="http://schemas.openxmlformats.org/officeDocument/2006/custom-properties" xmlns:vt="http://schemas.openxmlformats.org/officeDocument/2006/docPropsVTypes"/>
</file>