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 septembra noteikumos Nr. 506 "Mēslošanas līdzekļu un substrātu identifikācijas, kvalitātes atbilstības novērtēšanas un tirdzniecības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5. jūnija Regula (ES) 2019/1009, ar ko nosaka noteikumus par to, kā tirgū dara pieejamus ES mēslošanas līdzekļus, un ar ko groza Regulas (EK) Nr. 1069/2009 un (EK) Nr. 1107/2009 un atceļ Regulu (EK) Nr. 2003/2003 (turpmāk – regula 2019/1009).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2015. gada 1. septembra noteikumos Nr. 506 "Mēslošanas līdzekļu un substrātu identifikācijas, kvalitātes atbilstības novērtēšanas un tirdzniecības noteikumi" (turpmāk – noteikumi) tiek izdarīti, lai tos pielāgotu regulas 2019/1009 prasībām, aktualizētu noteikumos ietvertās atsauces uz normatīvajiem aktiem un precizētu noteikumos ietvertās prasības un terminus.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2022. gada 16. jūlija tiks piemērota  Eiropas Parlamenta un Padomes  2019. gada 5. jūnija Regula (ES) 2019/1009, ar ko nosaka noteikumus par to, kā tirgū dara pieejamus ES mēslošanas līdzekļus, un ar ko groza Regulas (EK) Nr. 1069/2009 un (EK) Nr. 1107/2009 un atceļ Regulu (EK) Nr. 2003/2003 (turpmāk – regula 2019/1009), pašreizējā Eiropas Parlamenta un Padomes 2003. gada 13. oktobra Regula (EK) Nr. 2003/2003 par mēslošanas līdzekļiem (turpmāk – regula Nr. 2003/2003) zaudēs spēku. Pašlaik nav noteikts termiņš, cik ilgi mēslošanas līdzekļi un substrāti var atrasties sarakstā “Atļauts lietot bioloģiskajā lauksaimniecībā”. Latvijā sagatavotiem mēslošanas līdzekļu maisījumiem noteikumi paredz atsevišķas normas par to reģistrēšanu.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Pašlaik tādi  EK mēslošanas līdzekļi, kuri atbilst regulas Nr. 2003/2003 kvalitātes prasībām, tiek marķēti ar zīmi “EK marķējums”, taču saskaņā ar regulu 2019/1009 un Eiropas Parlamenta un Padomes 2008. gada 9. jūlija Regulu (EK) Nr. 765/2008, ar ko nosaka akreditācijas un tirgus uzraudzības prasības attiecībā uz produktu tirdzniecību un  atceļ regulu (EEK) Nr. 339/93, ES mēslošanas līdzekļiem, kas atbilst regulas prasībām, ir jābūt CE zīmei. Tā kā no 2022. gada 1. janvāra tiks piemērota  Eiropas Komisijas 2021. gada 15. jūlija Īstenošanas regula (ES) 2021/1165, ar ko atļauj bioloģiskajā ražošanā izmantot noteiktus produktus un vielas un izveido to sarakstus, lai īstenotu Eiropas Parlamenta un Padomes 2018. gada 30. maija Regulu (ES) Nr. 2018/848 par bioloģisko ražošanu un bioloģisko produktu marķēšanu un ar ko atceļ Padomes regulu (EK) Nr. 834/2007 (turpmāk – regula 2021/1165), spēku zaudēs pašreizējā Eiropas Parlamenta un Padomes 2008. gada 5. septembra Regula (EK) Nr. 889/2008, ar ko paredz sīki izstrādātus bioloģiskās ražošanas, marķēšanas un kontroles noteikumus, lai īstenotu Eiropas Parlamenta un Padomes 2007. gada 28. jūnija Regulu (EK) Nr. 834/2007 par bioloģisko ražošanu un bioloģisko produktu marķēšanu. Eiropas Parlamenta un Padomes 2008. gada 9. jūnija Regula (EK) Nr. 764/2008, ar ko nosaka procedūras, lai dažus valstu tehniskos noteikumus piemērotu citā dalībvalstī likumīgi tirgotiem produktiem, un ar ko atceļ lēmumu Nr. 3052/95/EK, ir zaudējusi spēku, un tās vietā ir stājusies spēkā Eiropas Parlamenta un Padomes  2019. gada 19. marta Regula (ES) 2019/515 par citā dalībvalstī likumīgi tirgotu preču savstarpēju atzīšanu un Regulas (EK) Nr. 764/2008 atcelšanu. Lai novērtētu mēslošanas līdzekļu un substrātu atbilstību kvalitātes prasībām, pašlaik akreditētas laboratorijas tos var testēt ar regulā Nr. 2003/2003 norādītajām metodēm, taču jaunajā regulā 2019/1009 šādas metodes nav norādītas. Šādas testēšanas metodes mēslošanas līdzekļiem un substrātiem saskaņā ar regulu 2019/1009 tiks noteiktas Eiropas komisijas īstenošanas aktā. Ja mēslošanas līdzekli vai substrātu Latvijā ražo pēc gala lietotāja individuāla pasūtījuma, tad tas nav jāreģistrē, līdz  ar to šī  norma ir skaidri jānorāda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Nr. 2003/2003 ir noteikts, ka amonija nitrāta mēslošanas līdzeklim ar slāpekļa saturu, kas pārsniedz 28 procentus, ir jāveic detonācijas tests, savukārt regulā 2019/1009 šāds tests tiek saukts par detonācijnoturības testu. Ņemot vērā to, ka amonija nitrāta mēslošanas līdzekļiem ar slāpekļa saturu, kas pārsniedz 28 procentus, uzglabājot var mainīties kvalitāte, līdz ar to drošības nolūkos ir jānosaka, ka testēšanas pārskats par detonācijnoturību nedrīkst būt  vecāks par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mēslošanas līdzekļu maisījumu gatavotājs tiek uzskatīts par ražotāju, tad  uz viņu attiecas visas tās pašas prasības, kas uz ražotāju un nav nepieciešamas atsevišķas normas par maisījumu reģistrēšanu. Līdz ar to ir svītrojams noteikumu 16. punkts, kā arī norādes noteikumu 45., 59. punktā par mēslošanas līdzekļu maisījumu 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Mēslošanas līdzekļiem un substrātiem, kas minēti mēslošanas līdzekļu un substrātu sarakstā “Atļauts lietot bioloģiskajā lauksaimniecībā” var tikt mainītas izejvielas, tā ka tie vairs neatbilst sākotnējām kvalitātes prasībām, turklāt citās Eiropas Savienības dalībvalstīs izsniegtie sertifikāti, kas liecina par to, ka mēslošanas līdzeklis vai substrāts atbilst izmantošanai bioloģiskajā lauksaimniecībā, tiek izsniegti uz noteiktu termiņu, tāpēc būtu jāietver prasība par to, cik ilgi mēslošanas līdzekļi un substrāti var atrasties sarakstā “Atļauts lietot bioloģiskajā lauksaimniecībā”.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dienests lēmumu par mēslošanas līdzekļa vai substrāta atbilstību regulas 2021/1165 Ⅱ pielikuma prasībām varētu pieņemt normatīvo aktu noteiktajā kārtībā, ir nepieciešams noteikt konkrētu termiņu 39.</w:t>
      </w:r>
      <w:r w:rsidR="00000000" w:rsidRPr="00000000" w:rsidDel="00000000">
        <w:rPr>
          <w:vertAlign w:val="superscript"/>
          <w:rtl w:val="0"/>
        </w:rPr>
        <w:t xml:space="preserve">3</w:t>
      </w:r>
      <w:r w:rsidR="00000000" w:rsidRPr="00000000" w:rsidDel="00000000">
        <w:rPr>
          <w:rtl w:val="0"/>
        </w:rPr>
        <w:t xml:space="preserve"> punktā minētās papildinformācijas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patlaban ostu minerālmēslu saslauku ievešanai Valsts augu aizsardzības dienests izsniedza atļauju, kas neparedzēja norādīt ne ievesto minerālmēslu saslauku daudzumu, ne partijas daudzumu, noteikumos ir nepieciešami  precizējumi, lai minerālmēslu saslauku ievešanai piemērotu atbilstošu atļauju. Ņemot vērā to, ka noteikumu 75.1. apakšpunktā minētajā testēšanas pārskatā ir jānorāda ne tikai nevēlamo piemaisījumu saturs, bet arī deklarējamie rādītāji, tādēļ norāde uz to, ka testēšanas pārskatā ir norādīts tikai nevēlamo piemaisījumu saturs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jāprecizē, ka neitralizēšanas spēja, izteikta kā kalcija karbonāta (CaCO</w:t>
      </w:r>
      <w:r w:rsidR="00000000" w:rsidRPr="00000000" w:rsidDel="00000000">
        <w:rPr>
          <w:vertAlign w:val="subscript"/>
          <w:rtl w:val="0"/>
        </w:rPr>
        <w:t xml:space="preserve">3</w:t>
      </w:r>
      <w:r w:rsidR="00000000" w:rsidRPr="00000000" w:rsidDel="00000000">
        <w:rPr>
          <w:rtl w:val="0"/>
        </w:rPr>
        <w:t xml:space="preserve">) ekvivalents, ir procentuāla no dabīgi mitra kaļķošanas materiāla masas.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iepriekšminēto, noteikumu prasības un termini tiks saskaņoti ar regulā 2019/1009 ietvertajām prasībām un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noteiktas prasības, ka mēslošanas līdzekļi un substrāti var atrasties sarakstā “Atļauts lietot bioloģiskajā lauksaimniecībā” piecus gadus pēc to iekļaušanas tajā. Tādējādi tiks nodrošināts, ka bioloģiskajā lauksaimniecībā tiek izmantoti tikai atbilstīgi mēslošanas līdzekļi un substrāti un ka attiecīgajā sarakstā būs aktuāla informācija par iekļautajiem mēslošanas līdzekļiem un substrātiem.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arī precizēts, ka mēslošanas līdzekļu maisījumu gatavotājs tiek uzskatīts par ražotāju, tāpēc no noteikumiem ir jāsvītro šis termins un atsevišķas normas par maisījumu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Mēslošanas līdzekļu un substrātu apritē iesaistītās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Mēslošanas līdzekļu un substrātu apritē iesaistītās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mēslošanas līdzekļi un substrāti tiks iekļauti mēslošanas līdzekļu un substrātu sarakstā “Atļauts lietot bioloģiskajā lauksaimniecībā” uz pieciem gadiem, tas tiešā veidā ietekmēs personas, kuras ir iekļāvušas savu produkciju minētajā sarakstā. Tas nozīmē, ka personām piecus gadus pēc mēslošanas līdzekļa vai substrāta iekļaušanas minētajā sarakstā būs jāiesniedz vajadzīgie dokumenti, lai Valsts augu aizsardzības dienests varētu atkārtoti izvērtēt mēslošanas līdzekļa vai substrāta atbilstību regulas 2021/1165 II pielikumā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2012. gada 10. jūlija noteikumi Nr. 493 “Valsts augu aizsardzības dienesta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Jāsagatavo grozījumi, lai aktualizētu noteikumos ietvertās atsauces uz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2007. gada 30. janvāra noteikumi Nr. 83 “Noteikumi par valsts nodevu par mēslošanas līdzekļa un substrāta reģistrāciju vai atļaujas saņemšanu mēslošanas līdzekļa un substrāta ievešanai vai tirdzniecībai, kā arī tās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Jāsagatavo grozījumi, lai svītrotu aktualitāti zaudējušas normas un precizētu terminus.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32019R1009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5. jūnija Regula (ES) 2019/1009, ar ko nosaka noteikumus par to, kā tirgū dara pieejamus ES mēslošanas līdzekļus, un ar ko groza Regulas (EK) Nr. 1069/2009 un (EK) Nr. 1107/2009 un atceļ Regulu (EK) Nr. 2003/2003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32021R1165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2021. gada 15. jūlija Īstenošanas regula (ES) 2021/1165, ar ko atļauj bioloģiskajā ražošanā izmantot noteiktus produktus un vielas un izveido to sarakstus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32019R0515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19. marta Regula (ES) 2019/515 par citā dalībvalstī likumīgi tirgotu preču savstarpēju atzīšanu un Regulas (EK) Nr. 764/2008 atcelšanu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5. jūnija Regula (ES) 2019/1009, ar ko nosaka noteikumus par to, kā tirgū dara pieejamus ES mēslošanas līdzekļus, un ar ko groza Regulas (EK) Nr. 1069/2009 un (EK) Nr. 1107/2009 un atceļ Regulu (EK) Nr. 2003/2003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2019/1009 Ⅰ pielikuma Ⅱ daļas PFC 1 (C)(I)(a)(i-ii)(A) 5. punkts, Ⅳ pielikuma Ⅱ daļas A1 modulis 4. punkts, 4.3, 4.4.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punktā izteiktais noteikumu Nr. 506 21.3.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nekā regulā 2009/1009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2019/1009 4. panta 1. punkta a),b)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 punktā izteiktais noteikumu Nr. 506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nekā regulā 2009/1009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2021. gada 15. jūlija Īstenošanas regula (ES) 2021/1165, ar ko atļauj bioloģiskajā ražošanā izmantot noteiktus produktus un vielas un izveido to sarakstus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2021/1165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punktā izteiktais noteikumu Nr. 506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regulā 2021/1165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izteiktais noteikumu Nr. 506  1.2., 39.</w:t>
            </w:r>
            <w:r w:rsidR="00000000" w:rsidRPr="00000000" w:rsidDel="00000000">
              <w:rPr>
                <w:sz w:val="24"/>
                <w:vertAlign w:val="superscript"/>
                <w:rtl w:val="0"/>
              </w:rPr>
              <w:t xml:space="preserve">2</w:t>
            </w:r>
            <w:r w:rsidR="00000000" w:rsidRPr="00000000" w:rsidDel="00000000">
              <w:rPr>
                <w:sz w:val="24"/>
                <w:rtl w:val="0"/>
              </w:rPr>
              <w:t xml:space="preserve">2. un 39.</w:t>
            </w:r>
            <w:r w:rsidR="00000000" w:rsidRPr="00000000" w:rsidDel="00000000">
              <w:rPr>
                <w:sz w:val="24"/>
                <w:vertAlign w:val="superscript"/>
                <w:rtl w:val="0"/>
              </w:rPr>
              <w:t xml:space="preserve">5</w:t>
            </w:r>
            <w:r w:rsidR="00000000" w:rsidRPr="00000000" w:rsidDel="00000000">
              <w:rPr>
                <w:sz w:val="24"/>
                <w:rtl w:val="0"/>
              </w:rPr>
              <w:t xml:space="preserve">1. apakšpunkts, 39.</w:t>
            </w:r>
            <w:r w:rsidR="00000000" w:rsidRPr="00000000" w:rsidDel="00000000">
              <w:rPr>
                <w:sz w:val="24"/>
                <w:vertAlign w:val="superscript"/>
                <w:rtl w:val="0"/>
              </w:rPr>
              <w:t xml:space="preserve">1 </w:t>
            </w:r>
            <w:r w:rsidR="00000000" w:rsidRPr="00000000" w:rsidDel="00000000">
              <w:rPr>
                <w:sz w:val="24"/>
                <w:rtl w:val="0"/>
              </w:rPr>
              <w:t xml:space="preserve">un 39.</w:t>
            </w:r>
            <w:r w:rsidR="00000000" w:rsidRPr="00000000" w:rsidDel="00000000">
              <w:rPr>
                <w:sz w:val="24"/>
                <w:vertAlign w:val="superscript"/>
                <w:rtl w:val="0"/>
              </w:rPr>
              <w:t xml:space="preserve">3</w:t>
            </w:r>
            <w:r w:rsidR="00000000" w:rsidRPr="00000000" w:rsidDel="00000000">
              <w:rPr>
                <w:sz w:val="24"/>
                <w:rtl w:val="0"/>
              </w:rPr>
              <w:t xml:space="preserve"> punkts, 12. pielikuma 12. punkts, 13. pielikuma 10. punkts, 14. pielikuma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kā regulas 2021/1165 II pielikumā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19. marta Regula (ES) 2019/515 par citā dalībvalstī likumīgi tirgotu preču savstarpēju atzīšanu un Regulas (EK) Nr. 764/2008 atcelšanu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2019/515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punktā izteiktais noteikumu Nr. 506 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Noteikumos netiek noteiktas stingrākas prasības nekā regulā 2019/515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 gada 18. oktobra līdz 1. novembrim informācija par noteikumiem tika ievietota TAP portāla sadaļā “Sabiedrības līdzdalība” https://tapportals.mk.gov.lv/public_participations/, kurā sabiedrības pārstāvji varēja sniegt viedokļus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2021. gada 18. oktobrī elektroniski tika nosūtīts saskaņošanai biedrībām "Lauksaimnieku organizāciju sadarbības padome" (LOSP), "Zemnieku Saeima" un "Latvijas Lauksaimniecības Kooperatīvu Asociācija" (LLKA).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sabiedrības līdzdalības rezultātiem pieejama te: </w:t>
      </w:r>
      <w:r w:rsidR="00000000" w:rsidRPr="00000000" w:rsidDel="00000000">
        <w:rPr>
          <w:rtl w:val="0"/>
        </w:rPr>
        <w:t xml:space="preserve">https://tapportals.mk.gov.lv/public_participations/ed87efbd-5b5c-49e5-885a-6c7c844e4385</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TAP portālā *https://tapportals.mk.gov.lv) ievietoto noteikumu projektu netika saņemti iebildumi vai priekšlikumi. Nevalstiskās organizācijas viedokli nesniedza.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Grozījumi tieši ietekmēs arī Valsts augu aizsardzības dienesta personāla uzdevumus, jo pēc pieciem gadiem būs no jauna jāizvērtē mēslošanas līdzekļu un substrātu atbilstība bioloģiskajai lauksaimniecībai, lai tos varētu iekļaut mēslošanas līdzekļu un substrātu sarakstā "Atļauts lietot bioloģiskajā lauksaimniecībā".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21-TA-615</w:t>
    </w:r>
    <w:r>
      <w:br/>
    </w:r>
    <w:r w:rsidR="00000000" w:rsidRPr="00000000" w:rsidDel="00000000">
      <w:rPr>
        <w:rtl w:val="0"/>
      </w:rPr>
      <w:t xml:space="preserve">Izdrukāts 29.07.2026. 22.39 - 6.0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21-TA-615</w:t>
    </w:r>
    <w:r>
      <w:br/>
    </w:r>
    <w:r w:rsidR="00000000" w:rsidRPr="00000000" w:rsidDel="00000000">
      <w:rPr>
        <w:rtl w:val="0"/>
      </w:rPr>
      <w:t xml:space="preserve">Izdrukāts 29.07.2026. 22.39 - 6.0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anotācija_(ex_ante)_21-TA-615.docx</dc:title>
</cp:coreProperties>
</file>

<file path=docProps/custom.xml><?xml version="1.0" encoding="utf-8"?>
<Properties xmlns="http://schemas.openxmlformats.org/officeDocument/2006/custom-properties" xmlns:vt="http://schemas.openxmlformats.org/officeDocument/2006/docPropsVTypes"/>
</file>