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valsts budžeta mērķdotācijas sadalījumu 2025. gadam to māksliniecisko kolektīvu vadītāju darba samaksai un valsts sociālās apdrošināšanas obligātajām iemaksām, kuru dibinātāji nav pašvaldības"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sagatavots pēc Kultūras ministrijas iniciatīvas, pamatojoties uz Ministru kabineta 2015.gada 28.jūlija noteikumu Nr.440 "Kārtība, kādā tiek sadalīta valsts budžeta mērķdotācija to māksliniecisko kolektīvu vadītāju darba samaksai un valsts sociālās apdrošināšanas obligātajām iemaksām, kuru dibinātāji nav pašvaldības" (turpmāk – MK noteikumi Nr.440) 10.punktu.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mērķis ir noteikt valsts budžeta mērķdotācijas sadalījumu 2025.gadam to māksliniecisko kolektīvu vadītāju darba samaksai un valsts sociālās apdrošināšanas obligātajām iemaksām, kuru dibinātāji nav pašvaldības.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MK noteikumu Nr.440 10.punktu Latvijas Nacionālais kultūras centrs (turpmāk – Centrs) divu mēnešu laikā pēc gadskārtējā valsts budžeta likuma izsludināšanas sagatavo un kultūras ministrs iesniedz apstiprināšanai Ministru kabinetā rīkojuma projektu par valsts budžeta mērķdotācijas to māksliniecisko kolektīvu vadītāju darba samaksai un valsts sociālās apdrošināšanas obligātajām iemaksām, kuru dibinātāji nav pašvaldības (turpmāk – mērķdotācija) sadalījumu attiecīgajam gadam.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Nr.440 2.punkts nosaka, ka mērķdotāciju māksliniecisko kolektīvu (turpmāk – kolektīvi) dibinātājiem piešķir par kolektīviem, kuri ir noteikti Dziesmu un deju svētku likuma 6.panta pirmajā daļā (kori, tautas deju, folkloras un tautas mūzikas kopas (kolektīvi), pūtēju un simfoniskie orķestri, lietišķās mākslas studijas un amatierteātri u.c.) un atbilst šādiem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darbojas vismaz divus gadus;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apgūst kārtējiem Vispārējo latviešu dziesmu un deju svētkiem noteikto repertuāru (koprepertuāru);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vismaz reizi gadā ir piedalījušies repertuāra (koprepertuāra) pārbaudes skatēs vai konkursos, vai izstādēs;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vismaz reizi gadā ir piedalījušies Centra rīkotajos Dziesmu un deju svētku starplaika pasākumos.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MK noteikumu Nr.440 2.punktā noteiktajiem kritērijiem, 2025.gadā valsts budžeta mērķdotācijas pretendenti pavisam kopā 197 kolektīvi, tai skaitā 113 konkrētā dibinātāja kolektīvi – kori, tautas deju kolektīvi, pūtēju orķestri un kokļu mūzikas ansambļi (G1 grupa) un 84 konkrētā dibinātāja kolektīvi – folkloras kopas, etnogrāfiskie ansambļi, tautas mūzikas grupas, tautas lietišķās mākslas studijas, amatierteātri un vokālie ansambļi (G2 grupa).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Nr.440 10.punkts paredz, ka Centrs divu mēnešu laikā pēc gadskārtējā valsts budžeta likuma izsludināšanas sagatavo un kultūras ministrs iesniedz apstiprināšanai Ministru kabinetā rīkojuma projektu par mērķdotācijas sadalījumu attiecīgajam gadam.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Nr.440 6.punkts nosaka, ka Centrs aprēķina mērķdotācijas apmēru šādiem māksliniecisko kolektīvu dibinātājiem: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G1 grupas kolektīviem – koriem, tautas deju kolektīviem, pūtēju orķestriem un kokļu mūzikas ansambļiem;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G2 grupas kolektīviem – folkloras kopām, etnogrāfiskiem ansambļiem, tautas mūzikas grupām, tautas lietišķās mākslas studijām, amatierteātriem un vokālajiem ansambļiem.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Simfoniskie orķestri netiek iekļauti Projekta mērķdotācijas sadalījumā attiecīgajam gadam, jo Vispārējos latviešu dziesmu un deju svētkos piedalās kā profesionālie kolektīvi, kas finansējumu saņem no citiem avotiem.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Dziesmu un deju svētku starplaika pasākumi, tai skaitā repertuāra (koprepertuāra) pārbaudes skates, konkursi un izstādes ir regulāri Dziesmu un deju svētku tradīcijas pasākumi, kuru ietvaros tiek apgūts kārtējo Vispārējo latviešu dziesmu un deju svētku repertuārs (koprepertuārs), un pēc kuriem nozares ekspertiem ir iespējams objektīvi novērtēt katra konkrētā Dziesmu un deju svētku tradīcijā iesaistītā kolektīva māksliniecisko kvalitāti. Regulāra kolektīvu līdzdalība Dziesmu un deju svētku procesā (svētkos, starpsvētku pasākumos, skatēs, konkursos, izstādēs), kā arī kolektīvu ilgtermiņa darbība – šie aspekti ir nozīmīgi, kas sekmē Dziesmu un deju svētku tradīcijas ilgtspēju.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kolektīvu dibinātāju, kas nav pašvaldības, var būt privāto tiesību juridiskas personas, Kultūras ministrijas vai citas ministrijas padotībā esošas valsts budžeta iestādes, publisko tiesību atvasinātas personas un to iestādes, fiziskas personas, tai skaitā tās, kuras reģistrējušās kā saimnieciskās darbības veicējas, kā arī kolektīvu, kuru dibinātāji nav pašvaldības, vadītāji.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ka, pamatojoties uz MK noteikumu Nr.440 2.punktā noteiktajiem kritērijiem, 2025.gadā valsts budžeta mērķdotācija tiek piešķirta pavisam kopā 197 kolektīviem, tai skaitā 113 konkrētā dibinātāja kolektīviem – koriem, tautas deju kolektīviem, pūtēju orķestriem un kokļu mūzikas ansambļiem (G1 grupa) un 84 konkrētā dibinātāja kolektīviem – folkloras kopām, etnogrāfiskiem ansambļiem, tautas mūzikas grupām, tautas lietišķās mākslas studijām, amatierteātriem un vokālajiem ansambļiem (G2 grupa).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Nr.440 4.punkts nosaka, ka, lai aprēķinātu mērķdotācijas apmēru konkrētam kolektīva dibinātājam, Centrs izmanto datus, ko normatīvajos aktos par valsts statistikas apkopošanu kultūras jomā noteiktajā kārtībā dibinātājs sniedzis elektroniskajā datubāzē "Latvijas kultūras datu portāls" (tīmekļvietnē www.kulturasdati.lv).</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budžeta mērķdotācijas sadalījums 2025.gadam to māksliniecisko kolektīvu vadītāju darba samaksai un valsts sociālās apdrošināšanas obligātajām iemaksām, kuru dibinātāji nav pašvaldības, noteikts Projekta 1. un 2.pielikumā.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2028</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Izmaiņas kārtējā gadā, salīdzinot ar valsts budžetu kārtējam gadam ir nulle, jo līdzekļu pārdales starp resoriem rezultāts ir nulle.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budžetā 2025.gadam Kultūras ministrijas programmā 21.00.00 "Kultūras mantojums" mērķdotācijai to māksliniecisko kolektīvu vadītāju darba samaksai un valsts sociālās apdrošināšanas obligātajām iemaksām, kuru dibinātāji nav pašvaldības, ir plānoti finanšu resursi izdevumu segšanai 263 012 </w:t>
      </w:r>
      <w:r w:rsidR="00000000" w:rsidRPr="00000000" w:rsidDel="00000000">
        <w:rPr>
          <w:i w:val="1"/>
          <w:rtl w:val="0"/>
        </w:rPr>
        <w:t xml:space="preserve">euro </w:t>
      </w:r>
      <w:r w:rsidR="00000000" w:rsidRPr="00000000" w:rsidDel="00000000">
        <w:rPr>
          <w:rtl w:val="0"/>
        </w:rPr>
        <w:t xml:space="preserve">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2025.gadā mērķdotācijas pretendenti pavisam kopā ir 197 kolektīvi (tai skaitā 113 konkrētā dibinātāja kolektīvi – kori, tautas deju kolektīvi, pūtēju orķestri un kokļu mūzikas ansambļi (G1 grupa) un 84 konkrētā dibinātāja kolektīvi – folkloras kopas, etnogrāfiskie ansambļi, tautas mūzikas grupas, tautas lietišķās mākslas studijas, amatierteātri un vokālie ansambļi (G2 grupa)). 197 kolektīvu vadītāju darba samaksai un valsts sociālās apdrošināšanas obligātajām iemaksām, kuru dibinātāji nav pašvaldības, 2025.gadā pavisam kopā ir nepieciešami 263 500 </w:t>
      </w:r>
      <w:r w:rsidR="00000000" w:rsidRPr="00000000" w:rsidDel="00000000">
        <w:rPr>
          <w:i w:val="1"/>
          <w:rtl w:val="0"/>
        </w:rPr>
        <w:t xml:space="preserve">euro </w:t>
      </w:r>
      <w:r w:rsidR="00000000" w:rsidRPr="00000000" w:rsidDel="00000000">
        <w:rPr>
          <w:rtl w:val="0"/>
        </w:rPr>
        <w:t xml:space="preserve">(vienam kolektīvam piemērojot bāzes finansējumu 850 </w:t>
      </w:r>
      <w:r w:rsidR="00000000" w:rsidRPr="00000000" w:rsidDel="00000000">
        <w:rPr>
          <w:i w:val="1"/>
          <w:rtl w:val="0"/>
        </w:rPr>
        <w:t xml:space="preserve">euro</w:t>
      </w:r>
      <w:r w:rsidR="00000000" w:rsidRPr="00000000" w:rsidDel="00000000">
        <w:rPr>
          <w:rtl w:val="0"/>
        </w:rPr>
        <w:t xml:space="preserve">: (113kol. x 850 </w:t>
      </w:r>
      <w:r w:rsidR="00000000" w:rsidRPr="00000000" w:rsidDel="00000000">
        <w:rPr>
          <w:i w:val="1"/>
          <w:rtl w:val="0"/>
        </w:rPr>
        <w:t xml:space="preserve">euro </w:t>
      </w:r>
      <w:r w:rsidR="00000000" w:rsidRPr="00000000" w:rsidDel="00000000">
        <w:rPr>
          <w:rtl w:val="0"/>
        </w:rPr>
        <w:t xml:space="preserve">x 2) + (84 kol. x 850 </w:t>
      </w:r>
      <w:r w:rsidR="00000000" w:rsidRPr="00000000" w:rsidDel="00000000">
        <w:rPr>
          <w:i w:val="1"/>
          <w:rtl w:val="0"/>
        </w:rPr>
        <w:t xml:space="preserve">euro</w:t>
      </w:r>
      <w:r w:rsidR="00000000" w:rsidRPr="00000000" w:rsidDel="00000000">
        <w:rPr>
          <w:rtl w:val="0"/>
        </w:rPr>
        <w:t xml:space="preserve">) = 263 500 </w:t>
      </w:r>
      <w:r w:rsidR="00000000" w:rsidRPr="00000000" w:rsidDel="00000000">
        <w:rPr>
          <w:i w:val="1"/>
          <w:rtl w:val="0"/>
        </w:rPr>
        <w:t xml:space="preserve">euro</w:t>
      </w:r>
      <w:r w:rsidR="00000000" w:rsidRPr="00000000" w:rsidDel="00000000">
        <w:rPr>
          <w:rtl w:val="0"/>
        </w:rPr>
        <w:t xml:space="preserve">). Līdz ar to papildu nepieciešams finansējums - 488 </w:t>
      </w:r>
      <w:r w:rsidR="00000000" w:rsidRPr="00000000" w:rsidDel="00000000">
        <w:rPr>
          <w:i w:val="1"/>
          <w:rtl w:val="0"/>
        </w:rPr>
        <w:t xml:space="preserve">euro </w:t>
      </w:r>
      <w:r w:rsidR="00000000" w:rsidRPr="00000000" w:rsidDel="00000000">
        <w:rPr>
          <w:rtl w:val="0"/>
        </w:rPr>
        <w:t xml:space="preserve">(263500 </w:t>
      </w:r>
      <w:r w:rsidR="00000000" w:rsidRPr="00000000" w:rsidDel="00000000">
        <w:rPr>
          <w:i w:val="1"/>
          <w:rtl w:val="0"/>
        </w:rPr>
        <w:t xml:space="preserve">euro </w:t>
      </w:r>
      <w:r w:rsidR="00000000" w:rsidRPr="00000000" w:rsidDel="00000000">
        <w:rPr>
          <w:rtl w:val="0"/>
        </w:rPr>
        <w:t xml:space="preserve">– 263 012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pašvaldību māksliniecisko kolektīvu dibinātāju statusa maiņu uz citu dibinātāju vai otrādi, proti, atsevišķi biedrību dibināti kolektīvi ir kļuvuši par pašvaldības kolektīviem, bet pašvaldību dibināti ir kļuvuši par biedrību dibinātiem kolektīviem atlīdzības samaksas izdevumi 10 988 </w:t>
      </w:r>
      <w:r w:rsidR="00000000" w:rsidRPr="00000000" w:rsidDel="00000000">
        <w:rPr>
          <w:i w:val="1"/>
          <w:rtl w:val="0"/>
        </w:rPr>
        <w:t xml:space="preserve">euro </w:t>
      </w:r>
      <w:r w:rsidR="00000000" w:rsidRPr="00000000" w:rsidDel="00000000">
        <w:rPr>
          <w:rtl w:val="0"/>
        </w:rPr>
        <w:t xml:space="preserve">apmērā tiks pārdalīti no budžeta resora 62. "Mērķdotācijas pašvaldībām" programmas 02.00.00 "Mērķdotācijas pašvaldību tautas mākslas kolektīvu vadītāju darba samaksai un valsts sociālās apdrošināšanas obligātajām iemaksām" uz budžeta 22.resora Kultūras ministrija budžeta programmu 21.00.00 "Kultūras mantojums". Kultūras ministrijas budžeta programmā 21.00.00 "Kultūras mantojums" par 10 988 </w:t>
      </w:r>
      <w:r w:rsidR="00000000" w:rsidRPr="00000000" w:rsidDel="00000000">
        <w:rPr>
          <w:i w:val="1"/>
          <w:rtl w:val="0"/>
        </w:rPr>
        <w:t xml:space="preserve">euro </w:t>
      </w:r>
      <w:r w:rsidR="00000000" w:rsidRPr="00000000" w:rsidDel="00000000">
        <w:rPr>
          <w:rtl w:val="0"/>
        </w:rPr>
        <w:t xml:space="preserve">vienlaicīgi tiks palielinātas izmaksas ekonomiskās klasifikācijas kodā 7470 "Pārējie valsts budžeta uzturēšanas izdevumu transferti valsts budžeta daļēji finansētām atvasinātām publiskām personām un budžeta nefinansētām iestādēm".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Intensitātes koeficients ir noteikts, ņemot vērā MK noteikumu Nr.440 8.punktā ietverto līdzdalības intensitātes koeficienta aprēķina formulu: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K=P</w:t>
      </w:r>
      <w:r w:rsidR="00000000" w:rsidRPr="00000000" w:rsidDel="00000000">
        <w:rPr>
          <w:vertAlign w:val="subscript"/>
          <w:rtl w:val="0"/>
        </w:rPr>
        <w:t xml:space="preserve">1</w:t>
      </w:r>
      <w:r w:rsidR="00000000" w:rsidRPr="00000000" w:rsidDel="00000000">
        <w:rPr>
          <w:rtl w:val="0"/>
        </w:rPr>
        <w:t xml:space="preserve">/P</w:t>
      </w:r>
      <w:r w:rsidR="00000000" w:rsidRPr="00000000" w:rsidDel="00000000">
        <w:rPr>
          <w:vertAlign w:val="subscript"/>
          <w:rtl w:val="0"/>
        </w:rPr>
        <w:t xml:space="preserve">2</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Proti, 2025.gadā koeficients "2" iegūts, ņemot vērā Centra 2024.gadā īstenoto Dziesmu un deju svētku starplaika un pasākumu kopskaitu – no tiem G1 grupai tika īstenoti 12 (P1), bet G2 – 6 (P2) pasākumi, kas apstiprināti Centra 2024.gada 8.oktobra rīkojuma Nr.1.1-4-40 pielikumā Nr.5.</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2017.gada 30.maija noteikumu Nr.291 "Noteikumi par oficiālās statistikas apkopošanu kultūras jomā" 3. un 6.1.punktu valsts statistikas pārskatu veidlapas par iepriekšējo kalendāra gadu respondenti aizpilda elektroniskajā datubāzē "Latvijas kultūras datu portāls" (tīmekļvietnē www.kulturasdati.lv) tiešsaistes režīmā līdz kārtējā gada 15.janvārim. Pārraugošās iestādes pārbauda un apstiprina respondentu iesniegtās oficiālās statistikas pārskatu veidlapas līdz kārtējā gada 1.maijam.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2025.gadā saskaņā ar aprēķiniem nepieciešamais finansējums ir 263 500 </w:t>
      </w:r>
      <w:r w:rsidR="00000000" w:rsidRPr="00000000" w:rsidDel="00000000">
        <w:rPr>
          <w:i w:val="1"/>
          <w:rtl w:val="0"/>
        </w:rPr>
        <w:t xml:space="preserve">euro</w:t>
      </w:r>
      <w:r w:rsidR="00000000" w:rsidRPr="00000000" w:rsidDel="00000000">
        <w:rPr>
          <w:rtl w:val="0"/>
        </w:rPr>
        <w:t xml:space="preserve">, starpību 10 500 </w:t>
      </w:r>
      <w:r w:rsidR="00000000" w:rsidRPr="00000000" w:rsidDel="00000000">
        <w:rPr>
          <w:i w:val="1"/>
          <w:rtl w:val="0"/>
        </w:rPr>
        <w:t xml:space="preserve">euro </w:t>
      </w:r>
      <w:r w:rsidR="00000000" w:rsidRPr="00000000" w:rsidDel="00000000">
        <w:rPr>
          <w:rtl w:val="0"/>
        </w:rPr>
        <w:t xml:space="preserve">paredzot rezervē. Turpmākajos gados tie varētu tikt precizēti saskaņā ar pretendentu sarakstu, kas sastādīts, pamatojoties uz MK noteikumiem Nr.440, kā arī saskaņā ar Ministru kabineta 2015.gada 17.novembra noteikumiem Nr.649 "Kārtība, kādā pašvaldībām aprēķina un sadala valsts budžeta mērķdotāciju māksliniecisko kolektīvu vadītāju darba samaksai un valsts sociālās apdrošināšanas obligātajām iemaksām". Ņemot vērā līdzšinējo pieredzi, mākslinieciskie kolektīvi gada ietvaros var mainīt juridisko statusu, respektīvi – no pašvaldību dibināta kolektīva kļūt par cita dibinātāja kolektīvu.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pielikumā norādītie Izglītības un zinātnes ministrijas padotības iestāžu amatiermākslas kolektīvi finansējumu māksliniecisko kolektīvu vadītāju darba samaksai un valsts sociālās apdrošināšanas obligātajām iemaksām saņems transferta pārskaitījuma veidā no Centra saskaņā ar Likumu par budžetu un finanšu vadību.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kabinets 2025.gada 3.jūnija sēdē tika pieņemts Ministru kabineta rīkojums Nr.319 "Par apropriācijas pārdali no budžeta resora "62. Mērķdotācijas pašvaldībām" programmas 02.00.00 "Mērķdotācijas pašvaldību tautas mākslas kolektīvu vadītāju darba samaksai un valsts sociālās apdrošināšanas obligātajām iemaksām"". Saeima 2025.gada 12.jūnija kārtējā sēdē nolēma piekrist likumā "Par valsts budžetu 2025.gadam un budžeta ietvaru 2025., 2026. un 2027.gadam" noteiktās apropriācijas pārdalei 2025.gadā 10 988 </w:t>
      </w:r>
      <w:r w:rsidR="00000000" w:rsidRPr="00000000" w:rsidDel="00000000">
        <w:rPr>
          <w:i w:val="1"/>
          <w:rtl w:val="0"/>
        </w:rPr>
        <w:t xml:space="preserve">euro</w:t>
      </w:r>
      <w:r w:rsidR="00000000" w:rsidRPr="00000000" w:rsidDel="00000000">
        <w:rPr>
          <w:rtl w:val="0"/>
        </w:rPr>
        <w:t xml:space="preserve"> apmērā no budžeta resora "62. Mērķdotācijas pašvaldībām" programmas 02.00.00 "Mērķdotācijas pašvaldību tautas mākslas kolektīvu vadītāju darba samaksai un valsts sociālās apdrošināšanas obligātajām iemaksām" uz Kultūras ministrijas budžeta programmu 21.00.00 "Kultūras mantojums", lai Centrs varētu nodrošināt valsts budžeta mērķdotācijas sadalījumu 2025.gadam māksliniecisko kolektīvu vadītāju darba samaksai un valsts sociālās apdrošināšanas obligātajām iemaksām atbilstoši māksliniecisko kolektīvu juridiskajai piederībai.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Projekta mērķis ir noteikt valsts budžeta mērķdotācijas sadalījumu 2025.gadā to māksliniecisko kolektīvu vadītāju darba samaksai un valsts sociālās apdrošināšanas obligātajām iemaksām, kuru dibinātāji nav pašvaldības atbilstoši likumā "Par valsts budžetu 2025.gadam un budžeta ietvaru 2026., 2027. un 2028.gadam" šim mērķim paredzētajam finansējumam, kas būtiski nemaina esošo regulējumu un neparedz ieviest jaunas politiskās iniciatīvas, publisko apspriedi nav nepieciešams nodrošināt.</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Nacionālais kultūras centrs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25-TA-831</w:t>
    </w:r>
    <w:r>
      <w:br/>
    </w:r>
    <w:r w:rsidR="00000000" w:rsidRPr="00000000" w:rsidDel="00000000">
      <w:rPr>
        <w:rtl w:val="0"/>
      </w:rPr>
      <w:t xml:space="preserve">Izdrukāts 29.07.2026. 22.38 - 2.0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25-TA-831</w:t>
    </w:r>
    <w:r>
      <w:br/>
    </w:r>
    <w:r w:rsidR="00000000" w:rsidRPr="00000000" w:rsidDel="00000000">
      <w:rPr>
        <w:rtl w:val="0"/>
      </w:rPr>
      <w:t xml:space="preserve">Izdrukāts 29.07.2026. 22.38 - 2.0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anotācija_(ex_ante)_25-TA-831.docx</dc:title>
</cp:coreProperties>
</file>

<file path=docProps/custom.xml><?xml version="1.0" encoding="utf-8"?>
<Properties xmlns="http://schemas.openxmlformats.org/officeDocument/2006/custom-properties" xmlns:vt="http://schemas.openxmlformats.org/officeDocument/2006/docPropsVTypes"/>
</file>