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reformas 2.1.1.r. "Valsts procesu un pakalpojumu modernizācija un digitālā transformācija" investīcijas 2.1.1.1.i. "Pārvaldes modernizācija un pakalpojumu digitālā transformācija, tai skaitā uzņēmējdarbības vide" projekta "Uzņēmumu reģistra datu apstrādes un pakalpojumu modernizācija"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2022. gada 14. jūlija Ministru kabineta noteikumu Nr. 435 "Eiropas Savienības Atveseļošanas un noturības mehānisma plāna 2. komponentes "Digitālā transformācija" 2.1. reformu un investīciju virziena "Valsts pārvaldes, tai skaitā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transformācija" īstenošanas noteikumi" (turpmāk – Ministru kabineta noteikumi Nr. 435)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Ministru kabineta noteikumu Nr. 435  4. pielikumā "Reformu un investīciju virziena īstenošanas atbildības sadalījums" iekļautā nolūka "Uzņēmumu reģistra datu apstrādes un pakalpojumu modernizācija"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(turpmāk – TM) Atveseļošanas un noturības mehānisma plāna 2. komponentes “Digitālā transformācija” 2.1. reformu un investīciju virzienā kā vienu no prioritātēm ir izvirzījusi Uzņēmumu reģistra informācijas sistēmas attīstību. Lai šis mērķis tiktu sasniegts, ir plānots īstenot projektu "Uzņēmumu reģistra datu apstrādes un pakalpojumu modernizācija" (turpmāk -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informācijas sistēmas (turpmāk – URIS) modernizācijas ietvaros tiek izstrādāta moderna, ilgtspējīga, mūsdienu tehnoloģijās un pašapkalpošanās vidē balstīta Uzņēmumu reģistra informācijas sistēma (turpmāk – Sistēma), lai celtu Uzņēmumu reģistra (turpmāk – Reģistrs) funkciju izpildes efektivitāti, ieviestu lietotājorientētus inovatīvus pakalpojumus un nodrošinātu to pārrobežu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Sistēmas attīstība tika uzsākta 1.kārtas ietvaros. 1.kārtas darbu ieviešanai ir piesaistīts finansējums Noziedzīgi iegūtu līdzekļu legalizācijas un terorisma un proliferācijas fonda (AML/NILFF) ietvaros (īstenošanas laika periods no 2021. gada 2. jūlija līdz 2023. gada 9. jūlijam). 1.kārtas darbu ieviešanai netiks piesaistīts Eiropas Savienības Atveseļošanas un noturības mehānisma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1.kārtas ieviešana tiek veikta četru secīgu posmu veidā, kur katra posma ietvarā tiek izstrādāta un secīgi ieviesta loģiski saistīta sistēmas komponenšu kopa. Sistēma tiek darbināta paralēli ar esošo URIS, atbilstoši katram no ieviešanas posmiem pakāpeniski pārceļot biznesa procesu realizāciju no esošā URIS uz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posms: E-Vide ar  katalogu, izstrāde un tehniskais nodrošinājums. Tiek ieviesta e-vide, kas nodrošina iespēju klientam izvēlēties tam nepieciešamo pakalpojumu no pakalpojumu kataloga un elektroniskā veidā iesniegt pakalpojumu saņemšanai nepieciešamos dokumentus Reģistrā ne mazākā mērā, kā to nodrošina esošais latvija.lv e-pakalpojums EP119. E-vide ir integrēta ar esošo URIS, nodrošinot, ka visa turpmākā pieteikuma apstrāde un datu saglabāšana tiek veikta esošajā URIS. 1.posmu ievieš visiem pakalpojumiem uzreiz.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posms: Pieteikumi, izstrāde. E-vidē tiek izveidots jauns pieteikumu veidošanas un iesniegšanas process, nodrošinot klientiem iespēju veikt pieteikuma dokumentu ģenerēšanu no dokumentu tīmekļa veidlapām un pieteikumu automatizētu validāciju, apmaksu tiešsaistē un iesniegšanu apstrādei Reģistrā. Iesniegto pieteikumu turpmāka apstrāde un datu saglabāšana netiek mainīta un tiek veikta esošajā URIS. 2. posma ieviešana tiek veikta pakāpeniski pa pakalpojumiem, katram no pakalpojumiem sagatavojot dokumentu tīmekļa veidlapu formas un validācijas likumu komplektus. Tie pakalpojumi, kuriem tas nav sagatavots, tiek sniegti atbilstoši 1.posma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posms: Apstrāde, izstrāde. Pakāpeniski tiek ieviests jauns pieteikumu apstrādes process no valsts notāru puses, pārceļot pieteikumu apstrādi no esošā URIS uz Sistēmu, līdz ar to e-vidē iesniegtie pieteikumi pakāpeniski tiek apstrādāti Sistēmā. Pieteikumu apstrādes rezultātā datu saglabāšana no Sistēmas tiek veikta esošajā URIS. Posma ieviešana tiek veikta pa pakalpojumiem, ieviešot tos pakalpojumus, kam ir izstrādāta atbilstoša darba vieta to apstrādes atbalstam. Tie pakalpojumi, kas nav gatavi, tiek apstrādāti atbilstoši 2. posma procesam esošajā URIS, līdz to apstrādes pārcelšanai uz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posms: Izplatīšana, izstrāde. Datu saglabāšana un izplatīšana tiek veikta tikai no Sistēmas. Ievieš visai Sistēmai vienlaicīgi. Esošā URIS darbināšana tiek saglabāta arhīva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kārtas darbi tiks ieviesti līdz 2023.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turpināta Sistēmas attīstība, kas tika aizsākta 1. kārtas ietvaros un tā mērķis ir Reģistra uzraudzības, analīzes, izplatīšanas un datu pieejamības procesu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plānoto aktivitāšu īstenošanai tiks piesaistīts Eiropas Savienības Atveseļošanas un noturības mehānisma finansējums. Projekta īstenošana paredzēta laika periodā no 2023. gada līdz 2026.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Reģistram sniegtā atbalsta ietvaros tiks veikti pasākumi tam likumā “Par Latvijas Republikas Uzņēmumu reģistru” un citos normatīvajos aktos noteikto mērķu sasniegšanai un valsts noteikto funkciju veikšanai, kā arī preču piegādātāju un pakalpojumu sniedzēju piesaistē tiks ievēroti publiskos iepirkumus regulējošie normatīvie akti, tostarp ievērojot atklātu, caurspīdīgu un konkurenci nodrošinošu procedūru, līdz ar to projekta ietvaros komercdarbības atbalsts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ietvaros Reģistrs ir sācis pārveidot savus biznesa procesus, lai nodrošinātu gandrīz reāla laika pakalpojumu izpildi (atsevišķos gadījumos) un pārceltu izpildes kapacitāti no reaktīviem uz apsteidzošiem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digitālās transformācijas 1. kārtas ietvaros tiek digitāli transformēts uzņēmumu reģistrācijas process, tad visi no tā izrietošie procesi – uzraudzības, analīzes, izplatīšanas, datu pieejamības procesi – ir jāmaina atbilstoši, lai nodrošinātu to veiktspēju un līdzvērtīgu lietotāja pieredzi. Kā arī jānodrošina transformācijas rezultātam atbilstoša integrēta lietotāja pieredze, integrējot gan reģistrācijas, gan datu izplatīšanas pakalpojumus vienotā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attīstības procesi, kas tika aizsākti 1.kārtas ietvaros, secīgi jāturpina 2.kārtā. Līdz ar to ir plānots īstenot Sistēmas attīstības 2.kārtu -  Projektu (projekts "Uzņēmumu reģistra datu apstrādes un pakalpojumu modernizācija"). Tā mērķis ir Reģistra uzraudzības, analīzes, izplatīšanas un datu pieejamības procesu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plānotās aktivitātes sekmēs investīcijas 2.1.1.1.i. "Pārvaldes modernizācija un pakalpojumu digitālā transformācija, tai skaitā uzņēmējdarbības vide"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projektam ir pievienots pielikums "Investīcijas  2.1.1.1.i. projekta "Uzņēmumu reģistra datu apstrādes un pakalpojumu modernizācija" pase", kurā sniegta informācija par Projekta  mērķi un tā galvenajiem ieguvumiem. Projektu īstenos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aktivitātes, kuras plānots īstenot Projekta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Vienota klientu darba vieta (reģistrācijai un meklēšanai). Darbības ietvaros tiks izveidota klienta pakalpojumu saņemšanas darba vieta, kas apvienos šobrīd neatkarīgi izmantojamas aplikācijas – informācijas izplatīšanas aplikācijas un reģistrācijas aplikācijas. Klienta profila uzglabāšana un integrācija tiks saskaņota ar portāla latvija.lv izstrādēm. Vienlaikus tiek ieviesta cita pakalpojuma piegādes arhitektūra,  mainot vēsturisko "pakalpojuma groza" principu uz "maini, ko redzi" principu, lai būtiski vienkāršotu lietotāja pieredzi, samazinātu kļūdas un neskaidrību apjomu. Aktivitātes rezultātā visu Reģistrā vesto reģistru informācijas atrādīšana un meklēšana tiks īstenota vienā vietā, analīzes laikā izpētot latvija.lv risinājumu, lai izmantotu iespējas, kas būs pieejamas pirms šī projekta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pakalpojumu attīstība. Atbilstoši 1. kārtas ietvaros pārveidotajiem reģistrācijas servisiem, darbības ietvaros tiks pielāgoti informācijas izplatīšanas servisi (lietojumprogrammatūras saskarnes (turpmāk – API) līmenis), kā arī nodrošinātas nepieciešamās transformācijas normalizētai  informācijas attēlošanai. Darbība skar nepieciešamās izmaiņas digitālās vārtejas darbības nodrošināšanai un atvērto datu kopu automatizētai atjaunošanai, Datu izplatīšanas un pārvaldības platformas (turpmāk – DAGR) datu nodošanas risinājuma ieviešana augstas pieejamības (angļu val. "</w:t>
      </w:r>
      <w:r w:rsidR="00000000" w:rsidRPr="00000000" w:rsidDel="00000000">
        <w:rPr>
          <w:i w:val="1"/>
          <w:rtl w:val="0"/>
        </w:rPr>
        <w:t xml:space="preserve">high availiability</w:t>
      </w:r>
      <w:r w:rsidR="00000000" w:rsidRPr="00000000" w:rsidDel="00000000">
        <w:rPr>
          <w:rtl w:val="0"/>
        </w:rPr>
        <w:t xml:space="preserve">") datu apmaiņai starp Sistēmu un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analīzes pakalpojumi. Tiks izveidots biznesa inteliģences risinājums. Darbības ietvaros tiks ieviesti apsteidzošie pakalpojumi automatizētai saziņai ar Reģistra subjektiem, tiks nodrošināta apsteidzošo uzraudzības pakalpojumu automatizēšana, tiks ieviests reģistra darbības efektivitātes monitoringa risinājums, kā arī tiks veikta publisko datu kopu papildināšana un automatizācija.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Biznesa inteliģences risinājums ir risinājums, kas organizācijā nodrošina atbalstu datos balstītu biznesa lēmumu pieņemšanai un aptver datu iegūšanas, datu uzglabāšanas, analīzes un zināšanu pārvaldības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veicamajām darbībām nepieciešamais finansējums ir 2436000,00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Rīkojuma projekta apstiprināšanas Ministru kabinetā, finansējuma saņēmējs saskaņā ar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13.2.apakšpunktu pēc Vides aizsardzības un reģionālās attīstības ministrijas saņemtā uzaicinājuma par projekta iesnieguma iesniegšanu iesniegs projekta iesniegumu, ievadot Kohēzijas politikas fondu vadības informācijas sistēmā projekta iesnieguma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Atbildīgais par projekta iesniedzēju un atbildīgais par projekta īstenošanu un projekta pasē plānoto rezultātu (tai skaitā finanšu, rezultāta un iznākuma rādītāju) sasniegšanu ir Uzņēmumu reģistrs. Ņemot vērā to, ka Uzņēmumu reģistrs īstenoja Sistēmas 1.kārtas procesus, Uzņēmumu reģistrs turpinās tālāku Sistēmas attīstību, tādējādi nodrošinot nepārtrauktības un pēctecības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ietvaros visos Sistēmas reģistros tiktu nodrošināta mūsdienīga un ērta datu ievade gan klientiem, gan Reģistra darbiniekiem, datu pārbaude, kā arī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pilnveidoti e-pakalpojumi uzņēmējiem, kas samazinās administratīvo slogu uzņēmējiem un uzlabos uzņēmējdarbības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Sadarbspēja ar Reģistra informācijas izplatīšanas vidi un efektīva datu apmaiņu ar citām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476 345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668 636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476 345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668 636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793 431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562 364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793 431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-124 795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-124 795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-124 795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-86 019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-124 795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īstenošanai Tieslietu ministrijai (Uzņēmumu reģistram) nepieciešams finansējums (detalizēts aprēķins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562 364  </w:t>
            </w:r>
            <w:r w:rsidR="00000000" w:rsidRPr="00000000" w:rsidDel="00000000">
              <w:rPr>
                <w:sz w:val="24"/>
                <w:i w:val="1"/>
                <w:rtl w:val="0"/>
              </w:rPr>
              <w:t xml:space="preserve">euro</w:t>
            </w:r>
            <w:r w:rsidR="00000000" w:rsidRPr="00000000" w:rsidDel="00000000">
              <w:rPr>
                <w:sz w:val="24"/>
                <w:rtl w:val="0"/>
              </w:rPr>
              <w:t xml:space="preserve"> apmērā, t.sk. PVN 86 019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1000- 66 729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5000-495 635 </w:t>
            </w:r>
            <w:r w:rsidR="00000000" w:rsidRPr="00000000" w:rsidDel="00000000">
              <w:rPr>
                <w:sz w:val="24"/>
                <w:i w:val="1"/>
                <w:rtl w:val="0"/>
              </w:rPr>
              <w:t xml:space="preserve">euro</w:t>
            </w:r>
            <w:r w:rsidR="00000000" w:rsidRPr="00000000" w:rsidDel="00000000">
              <w:rPr>
                <w:sz w:val="24"/>
                <w:rtl w:val="0"/>
              </w:rPr>
              <w:t xml:space="preserve">, t.sk. PVN 86 019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1 523 956  </w:t>
            </w:r>
            <w:r w:rsidR="00000000" w:rsidRPr="00000000" w:rsidDel="00000000">
              <w:rPr>
                <w:sz w:val="24"/>
                <w:i w:val="1"/>
                <w:rtl w:val="0"/>
              </w:rPr>
              <w:t xml:space="preserve">euro</w:t>
            </w:r>
            <w:r w:rsidR="00000000" w:rsidRPr="00000000" w:rsidDel="00000000">
              <w:rPr>
                <w:sz w:val="24"/>
                <w:rtl w:val="0"/>
              </w:rPr>
              <w:t xml:space="preserve"> apmērā, t.sk. PVN 249 590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1000- 85 844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5000-1 438 112 </w:t>
            </w:r>
            <w:r w:rsidR="00000000" w:rsidRPr="00000000" w:rsidDel="00000000">
              <w:rPr>
                <w:sz w:val="24"/>
                <w:i w:val="1"/>
                <w:rtl w:val="0"/>
              </w:rPr>
              <w:t xml:space="preserve">euro</w:t>
            </w:r>
            <w:r w:rsidR="00000000" w:rsidRPr="00000000" w:rsidDel="00000000">
              <w:rPr>
                <w:sz w:val="24"/>
                <w:rtl w:val="0"/>
              </w:rPr>
              <w:t xml:space="preserve">, t.sk. PVN 249 590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793 431 </w:t>
            </w:r>
            <w:r w:rsidR="00000000" w:rsidRPr="00000000" w:rsidDel="00000000">
              <w:rPr>
                <w:sz w:val="24"/>
                <w:i w:val="1"/>
                <w:rtl w:val="0"/>
              </w:rPr>
              <w:t xml:space="preserve">euro</w:t>
            </w:r>
            <w:r w:rsidR="00000000" w:rsidRPr="00000000" w:rsidDel="00000000">
              <w:rPr>
                <w:sz w:val="24"/>
                <w:rtl w:val="0"/>
              </w:rPr>
              <w:t xml:space="preserve"> apmērā, t.sk. PVN 124 795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1000- 74 375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5000-719 056 </w:t>
            </w:r>
            <w:r w:rsidR="00000000" w:rsidRPr="00000000" w:rsidDel="00000000">
              <w:rPr>
                <w:sz w:val="24"/>
                <w:i w:val="1"/>
                <w:rtl w:val="0"/>
              </w:rPr>
              <w:t xml:space="preserve">euro</w:t>
            </w:r>
            <w:r w:rsidR="00000000" w:rsidRPr="00000000" w:rsidDel="00000000">
              <w:rPr>
                <w:sz w:val="24"/>
                <w:rtl w:val="0"/>
              </w:rPr>
              <w:t xml:space="preserve">, t.sk. PVN 124 795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16 653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izdevumi EKK 1000- 16 653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pabeigšanas ik gadu Sistēmas uzturēšanas izdevumi 497 000 euro apmērā tiks segti programmas 06.01.00 "Juridisko personu reģistrācija" piešķirto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tai skaitā pievienotās vērtības nodokļa (PVN) izmaksu segšanai Tieslietu ministrijas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(turpmāk – PVN) izmaksas nav attiecināmas finansēšanai no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uzraudzība tiks veikta saskaņā ar TM izstrādātiem, spēkā esošiem iekšējiem tiesību aktiem.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finansējuma saņēmēju. Šis projekts pēc būtības neskars sabiedrības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darbības, tiks uzlaboti un pilnveidoti Sistēmas ietvaros sniedzamie pakalpojumi elektroniskajā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darbības, tiks pilnveidota iestādes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nepieciešamās prasības principa “Nenodarīt būtisku kaitējumu” ievērošanai un atbilst Atveseļošanas fonda plānā noteiktajiem Eiropas Savienības un nacionālajiem vides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elektroniskos pakalpojumus Projekta ietvaros, iestādei, kuras pārziņā ir pamatdarbības informācijas sistēma, jāievēro un jānodrošina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22-TA-2943</w:t>
    </w:r>
    <w:r>
      <w:br/>
    </w:r>
    <w:r w:rsidR="00000000" w:rsidRPr="00000000" w:rsidDel="00000000">
      <w:rPr>
        <w:rtl w:val="0"/>
      </w:rPr>
      <w:t xml:space="preserve">Izdrukāts 29.07.2026. 22.45 - 2.0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22-TA-2943</w:t>
    </w:r>
    <w:r>
      <w:br/>
    </w:r>
    <w:r w:rsidR="00000000" w:rsidRPr="00000000" w:rsidDel="00000000">
      <w:rPr>
        <w:rtl w:val="0"/>
      </w:rPr>
      <w:t xml:space="preserve">Izdrukāts 29.07.2026. 22.45 - 2.0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anotācija_(ex_ante)_22-TA-2943.docx</dc:title>
</cp:coreProperties>
</file>

<file path=docProps/custom.xml><?xml version="1.0" encoding="utf-8"?>
<Properties xmlns="http://schemas.openxmlformats.org/officeDocument/2006/custom-properties" xmlns:vt="http://schemas.openxmlformats.org/officeDocument/2006/docPropsVTypes"/>
</file>