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noteikumu projekts) ir Labklājības ministrijas (turpmāk – LM) iniciatīva un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4.3.1.2. pasākuma "Pakalpojumu kvalitātes un pieejamības uzlabošana, tuvinot valsts sociālās aprūpes centru filiāles kopienā sniegtajiem (ģimeniskai videi pietuvinātiem) pakalpojumiem" (turpmāk – 4.3.1.2. pasākums) projekta personāla izmaksu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MK noteikumi Nr. 692) 16.1. apakšpunktā noteikts, ka 4.3.1.2. pasākuma tiešas attiecināmās izmaksas ietver personāla izmaksas – projekta vadības un īstenošanas personāla izmaksas, izņemot virsstundas. Tāpat minētais apakšpunkts nosaka, ka gadījumā, ja personāla iesaiste projektā tiek nodrošināta saskaņā ar daļlaika izmaksu attiecināmības principu, attiecināma ir ne mazāka kā 30 procentu noslodze. Savukārt, ja personāls ir nodarbināts nepilnu darba laiku, izmaksas nosakāmas atbilstoši nepilnā darba laika noslodzei. Papildus noteikts, ka personāla atlīdzības izmaksām jābūt atbilstošām finansējuma saņēmēja iestādes atlīdzības sistēmā noteiktajai samaksai par līdzvērtīga darba veikšanu vai atbilstošām vidējai darba samaksai saskaņā ar Latvijas Republikas Centrālās statistikas pārvaldes datiem par līdzvērtīgu darbu attiecīgajā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28. janvārī Finanšu ministrija ir ierosinājusi precizējumus vadlīnijās Nr. 1.2. "Vadlīnijas attiecināmo izmaksu noteikšanai Eiropas Savienības kohēzijas politikas programmas 2021.–2027. gada plānošanas periodā" (turpmāk – vadlīnijas), kuras turpmāk neparedz projekta personāla daļlaika noslodzes apmēra ierobežojumus (vismaz 30 procenti).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valsts sabiedrības ar ierobežotu atbildību "Šampētera nams" (turpmāk – VSIA "Šampētera nams") un Centrālās finanšu un līgumu aģentūras (turpmāk – CFLA) kā sadarbības iestādes 2024. gada 17. jūnijā noslēgto līgumu par Eiropas Savienības fonda projekta īstenošanu Nr. 4.3.1.2/1/24/I/001 (turpmāk – līgums par projekta īstenošanu) vadlīniju piemērošana ir obligāta, noteikumu projekts paredz svītrot MK noteikumos Nr. 692 noteikto ierobežojumu personāla izmaksu daļlaika noslodzei. Tāpat noteikumu projekts paredz svītrot nosacījumu par projekta personālam nosakāmo atlīdzības apmēru, jo šāds nosacījums jau ir noteikts vadlīnijās, kas, kā minēts iepriekš, ir saistošas finansējuma saņēmējam saskaņā ar noslēgto līgumu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minētās vadlīnijas vēl ir saskaņošanas procesā, taču noteikumu projektā iestrādātās izmaiņas ļaus pēc iespējas ātrāk uzsākt aktuālo vadlīniju piemērošanu. Līdz vadlīniju grozījumu apstiprināšanas, finansējuma saņēmējam ir saistoši vadlīniju spēkā esošās versijas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CFLA un VSIA "Šampētera nams" līgumā par projekta īstenošanu, veicot precizējumus projekta īstenošanas kapacitātes aprakstā un personāla atlīdzības izdevumos, tiks virzīti apstiprināšanai pēc noteikumu projekta spēkā stāšanās.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ietekmētu mērķa grupas personu vai citu sabiedrības grupu vajadzības, bet skar tādus projekta ieviešanas nosacījumus, kas ir saistoši tikai finansējuma saņēmējam. Attiecīgi sabiedrības līdzdalība netika izsludināta.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25-TA-671</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25-TA-671</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anotācija_(ex_ante)_25-TA-671.docx</dc:title>
</cp:coreProperties>
</file>

<file path=docProps/custom.xml><?xml version="1.0" encoding="utf-8"?>
<Properties xmlns="http://schemas.openxmlformats.org/officeDocument/2006/custom-properties" xmlns:vt="http://schemas.openxmlformats.org/officeDocument/2006/docPropsVTypes"/>
</file>