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"Būvkonstrukciju projektēšanas būvnormatīvs LBN 217-24"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pēc Ekonomikas ministrijas iniciatīvas, pamatojoties uz Būvniecības likuma 5. panta pirmās daļas 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“Būvkonstrukciju projektēšanas būvnormatīvs LBN 217-24” (turpmāk - Noteikumu projekts) sagatavots ar mērķi apvienot astoņus Latvijas būvnormatīvus par betona, tērauda, mūra, koka, tērauda un betona kompozīto, alumīnija, seismiski izturīgu būvkonstrukciju projektēšanu un ģeotehnisko projektēšanu vienā normatīvajā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būvkonstrukciju projektēšanas būvnormatīvos, piemēram, Latvijas būvnormatīvā LBN 203-15 “Betona būvkonstrukciju projektēšana”, ir noteikts tikai, ka attiecīgās konstrukcijas projektē saskaņā ar noteiktu Eirokodeksa projektēšanas standartu saimi. Atsevišķos gadījumus būvnormatīvos papildus ir ietverts Eirokodeksa nacionālo pielikumos jau ietvertās prasības, tās dublējot. Vienlaikus spēkā esošajos būvnormatīvos nav noteiktas prasības vairākām būvkonstrukcijām, piemēram, stikla konstrukcijām, tentu konstrukcijām, kurām tiek pielietotas oglekļa šķiedru materiāla troses, u.c. konstrukcijām. Savukārt Eirokodeksos ir ietvertas prasības visām būvkonstrukcijām - nosakot prasības projektēšanai, pamatojoties uz testēšanu un dodot atsauces uz dažādiem ETA (Eiropas tehnisko apstiprinājumu par labvēlīgu tehnisko novērtējumu un produkta piemērotību paredzētai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Eirokodekss ir Eiropas Standartizācijas Komitejas CEN standartu saime, kas nosaka būvkonstrukciju projektēšanas kārtību. Eirokodeksa standartu sistēma sastāv no 10 saimēm, no kurām 3 (EN 1990, EN 1991 un EN 1998) ir t.s. horizontālās saimes, kas aptver konstrukciju projektēšanas pamatprincipus, iedarbes uz konstrukcijām un seismiski izturīgu konstrukciju projektēšanu, bet 7 saimes ir dažādu konstrukciju projektēšanas noteikumi (EN 1992 – Betona konstrukciju projektēšana, EN 1993 – Tērauda konstrukciju projektēšana, EN 1994 – Tērauda un betona kompozīto konstrukciju projektēšana, EN 1995 – Koka konstrukciju projektēšana, EN 1996 – Mūra konstrukciju projektēšana, EN 1997 – Ģeotehniskā projektēšana, EN 1999 – Alumīnija konstrukciju projektēšana). Latvijā jau šobrīd būvkonstrukciju projektēšanā tiek izmantoti iepriekš minētie standarti.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būvkonstrukciju būvnormatīvi tika pieņemti laika periodā no 2014.gada līdz 2015.gadam – stājās spēkā 2015. gada 1. jūnijā. Šo būvnormatīvu pieņemšanas laikā tika saglabāta vēsturiskā pieeja, ka attiecībā uz katru būvkonstrukciju ir atsevišķs būvnormatīvs. Tomēr, šobrīd šāda pieeja rada tikai tehniskā regulējuma sadrumstalotību un pati par sevi nerada nekādu pievienoto vērtību. Papildus ir jāņem vērā, ka būvkonstrukciju būvnormatīvos papildus ietvertās prasības jau šobrīd dublē tās prasības, ka ir ietvertas Eirokodeksa nacionālo pielikumos, un šo prasību izmaiņu gadījumos var nākotnē radīt neatbilstības aprēķinos. Skatoties no šāda aspekta, šobrīd nav lietderīgi saglabāt atsevišķus būvkonstrukciju būvnormatīvus, bet tie būtu apvienojami vienā būvnormatīvā. Papildus būtu nepieciešams arī ņemt vērā, ka spēkā esošie būvkonstrukciju būvnormatīvi neattiecas uz visām būvkonstrukcijām, bet tikai uz noteiktu to daļu. Savukārt Eirokodeksos ir ietvertas prasības visām būvkonstrukcijām.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problēmu risina un vienuviet nosaka, ka būvprojekta būvkonstrukciju daļu projektē saskaņā ar adaptētiem Eirokodeksa standartiem un to nacionālajiem pielikumiem. Eirokodeksa standartu nacionālos pielikumus izstrādā un pārskata būvniecības jomas organizācijas SIA „Latvijas standarts” standartizācijas komitejās atbilstoši standartu izstrādes kārtībai. Latvijas būvnormatīvu: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203-15 ”Betona būvkonstrukciju projektēšana” - aizstāj LVS EN 1992 Betona konstrukciju projektēšana. 2. Eirokodekss;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204-14 “Tērauda būvkonstrukciju projektēšana” - aizstāj LVS EN 1993 3. Eirokodekss: Tērauda konstrukciju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205-15 “Mūra būvkonstrukciju projektēšana” - aizstāj LVS EN 1996 6. Eirokodekss: Mūra konstrukciju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206-14 “Koka būvkonstrukciju projektēšana” - aizstāj LVS EN 1995 5. Eirokodekss: Koka konstrukciju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207-15 “Ģeotehniskā projektēšana” - aizstāj LVS EN 1997 7. Eirokodekss: Ģeotehniskā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212-15 “Tērauda un betona kompozīto būvkonstrukciju projektēšana” - aizstāj LVS EN 1994 4. Eirokodekss: Tērauda un betona kompozīto konstrukciju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213-15 “Alumīnija būvkonstrukciju projektēšana” - aizstāj LVS EN 1999 9.Eirokodekss: Alumīnija konstrukciju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215-15 “Seismiski izturīgu būvkonstrukciju projektēšana” – aizstāj  LVS EN 1998  8. Eirokodekss: Seismiski izturīgu konstrukciju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būvkonstrukciju projektēšanā būs piemērojami arī citi Latvijas valsts standarti, kas publicēti piemērojamo standartu sarakstā nacionālās standartizācijas institūcijas tīmekļvietnē www.lvs.lv. Šāda pieeja ir saskanīga ar citos būvnormatīvos jau ietverto regulējumu (sk., piemēram, Ministru kabineta 2021. gada 19. oktobra noteikumu Nr. 693 “Būvju vispārīgo prasību būvnormatīvs LBN 200-21” 177.punktu).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visus būvkonstrukciju būvnormatīvus, tiek ņemts arī vērā, ka, piemēram, saskaņā ar Ministru kabineta 23.12.2014. noteikumu Nr.794 "Noteikumi par Latvijas būvnormatīvu LBN 204-14 "Tērauda būvkonstrukciju projektēšana"" 5.punktu, gadījumā, ja tiek veikta līdz 2015.gada 31.maijam (pārejas datums uz Eirokodeksiem) projektētu esošu būvju pārbūve vai atjaunošana, tērauda konstruktīvo elementu lokālajās pārbaudēs par atbilstošām konstrukcijām uzskata arī tādas konstrukcijas, kas atbilst konstrukciju projektēšanas būvnormatīviem, kas bija spēkā no 1988. gada līdz 2015.gada 31.maijam, ja vienlaikus īstenojas šādi nosacījumi: pēc pārbūves vai atjaunošanas netiek palielināta slodze uz konstruktīvo elementu; netiek mainīta konstruktīvā elementa aprēķina shēma; tehniskās apsekošanas laikā nav konstatētas virsnormatīvās izlieces vai citas konstrukciju nedrošuma pazīmes. Šis regulējums tiek saglabāts arī Noteikumu projektā (sk. Noteikuma projekta 5.punktu). Vienlaikus, ņemot vērā, ka aprēķina shēmu projektētājs (būvspeciālists) var izvēlēties komplicētāku un precīzāku, vai arī vienkāršāku un parasti arī konservatīvāku. Pats svarīgākais ir, lai, neatkarīgi no aprēķina metodēm, pārbūves vai atjaunošanas gadījumos netiek palielināta konstruktīvā elementa noslodze attiecībā uz nestspējas un lietojamības robežstāvokļiem, bez šo elementu pastiprināšanas. Tā ir tieši projektētāja (būvspeciālista) atbildība izvēlēties atbilstošāko risinājumu katrā konkrētā gadījumā. Atsevišķi arī jānorāda, ka Noteikumu projekta 7.punkts ir nepieciešams, lai nodrošinātu arī iespēju konkrēti piemērot Ministru kabineta 2021. gada 15. jūnija noteikumu Nr. 384 “Būvju tehniskās apsekošanas būvnormatīvs LBN 405-21” 7.punktu, proti, ka veicot tehnisko apsekošanu, par atbilstošām būvkonstrukcijām tiek uzskatītas arī tādas konstrukcijas, kas projektētas līdz 2015. gada 31. maijam un atbilst būvkonstrukciju projektēšanas būvnormatīviem, kas bija spēkā no 1988. gada līdz 2015.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Eirokodeksa EN 1990 “Konstrukciju projektēšanas pamati” 1.4. punktā “Atšķirība starp principiem un pielietošanas noteikumiem” noteikts, ka “[i]r atļauts izmantot alternatīvus projektēšanas noteikumus, kas atšķiras no standartā EN 1990 formulētajiem pielietošanas noteikumiem, ar nosacījumu, ka tiek apliecināts, ka alternatīvie noteikumi ir saskaņā ar attiecīgajiem principiem, un tiem ir vismaz tāds pat drošums, ekspluatējamība un ilgizturība, kādu varētu sagaidīt, lietojot Eirokodeksus.” Noteikumu projekta  4. punktā dotā norāde, kas pēc būtības citē Eirokodeksu, uzsver to, ka projekts jāizstrādā saskaņā ar standarta EN 1990 principiem. Tāpat būvkonstrukciju projektēšanā ir pieļaujams izmantot “European Technical Approval Guidelines” (ETAG) un “European Assessment Documents” (EAD). Bet ir jāsaprot, ka alternatīvajiem noteikumiem ir jāizpilda Eirokodekss EN 1990 “Konstrukciju projektēšanas pamati” punktā 1.4. “Atšķirība starp principiem un pielietošanas noteikumiem” aprakstīto principu prasību nodrošināšanu, kā arī ir jānodrošina Eirokodekss EN 1990 “Konstrukciju projektēšanas pamati” B pielikumā definēto drošuma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lai novērstu jebkādus turpmākus pārpratumus, Noteikumu projektā ir arī uzsvērts, ka ģeotehniskā projektēšana ir daļa no būvkonstrukciju projektēšanas (sk. Noteikumu projekta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nosaka, ka atkāpju gadījumā tās ir jāpamato. Tas nozīmē, ka Būvniecības likuma 9.</w:t>
      </w:r>
      <w:r w:rsidR="00000000" w:rsidRPr="00000000" w:rsidDel="00000000">
        <w:rPr>
          <w:vertAlign w:val="superscript"/>
          <w:rtl w:val="0"/>
        </w:rPr>
        <w:t xml:space="preserve">1</w:t>
      </w:r>
      <w:r w:rsidR="00000000" w:rsidRPr="00000000" w:rsidDel="00000000">
        <w:rPr>
          <w:rtl w:val="0"/>
        </w:rPr>
        <w:t xml:space="preserve">panta 11.daļā noteiktajā kārtībā </w:t>
      </w:r>
      <w:r w:rsidR="00000000" w:rsidRPr="00000000" w:rsidDel="00000000">
        <w:rPr>
          <w:i w:val="1"/>
          <w:rtl w:val="0"/>
        </w:rPr>
        <w:t xml:space="preserve">“[a]lternatīvo tehnisko risinājumu un atkāpju saskaņojumu vai pamatojumu ietver būvniecības dokumentos vai pievieno tiem”</w:t>
      </w:r>
      <w:r w:rsidR="00000000" w:rsidRPr="00000000" w:rsidDel="00000000">
        <w:rPr>
          <w:rtl w:val="0"/>
        </w:rPr>
        <w:t xml:space="preserve">. Alternatīvajiem risinājumiem un atkāpēm no Eirokodeksa piemēro to pašu kārtību, kāda Būvniecības likuma 9.</w:t>
      </w:r>
      <w:r w:rsidR="00000000" w:rsidRPr="00000000" w:rsidDel="00000000">
        <w:rPr>
          <w:vertAlign w:val="superscript"/>
          <w:rtl w:val="0"/>
        </w:rPr>
        <w:t xml:space="preserve">1</w:t>
      </w:r>
      <w:r w:rsidR="00000000" w:rsidRPr="00000000" w:rsidDel="00000000">
        <w:rPr>
          <w:rtl w:val="0"/>
        </w:rPr>
        <w:t xml:space="preserve">pantā ir noteikta atkāpēm no būvnormatīvu tehniskajām prasībām, proti, atkāpju gadījumā alternatīvajam risinājumam ir jānodrošina tie paši sasniedzamie mērķi, aizsardzības līmenis u.c. aspekti. Uz atkāpēm no Eirokodeksa attiecās arī Būvniecības likuma 9.</w:t>
      </w:r>
      <w:r w:rsidR="00000000" w:rsidRPr="00000000" w:rsidDel="00000000">
        <w:rPr>
          <w:vertAlign w:val="superscript"/>
          <w:rtl w:val="0"/>
        </w:rPr>
        <w:t xml:space="preserve">1</w:t>
      </w:r>
      <w:r w:rsidR="00000000" w:rsidRPr="00000000" w:rsidDel="00000000">
        <w:rPr>
          <w:rtl w:val="0"/>
        </w:rPr>
        <w:t xml:space="preserve">panta ceturtajā daļā noteiktā kārtība, saskaņā ar kuru attiecīgās atkāpes </w:t>
      </w:r>
      <w:r w:rsidR="00000000" w:rsidRPr="00000000" w:rsidDel="00000000">
        <w:rPr>
          <w:i w:val="1"/>
          <w:rtl w:val="0"/>
        </w:rPr>
        <w:t xml:space="preserve">“..(izņemot atkāpes no mehāniskās stiprības un stabilitātes prasībām) ir pieļaujamas pēc paredzēto atkāpju saskaņošanas vai pamatošanas šā panta septītajā vai devītajā daļā noteiktajā kārtībā..”</w:t>
      </w:r>
      <w:r w:rsidR="00000000" w:rsidRPr="00000000" w:rsidDel="00000000">
        <w:rPr>
          <w:rtl w:val="0"/>
        </w:rPr>
        <w:t xml:space="preserve">. Pamatojumam ir jābūt tādam, lai tas izturētu kritiku, proti, informācija par pieņēmumiem vai aplēsēm, veiktajiem būvdarbiem, izmantojamām metodēm un citai informācijai ir jābūt tik detālai un precīzai, lai argumentēti tiktu pamatota katra izdarītā secinājuma pamatotība tādā apmērā, lai cits atbilstošs būvspeciālists varētu pārliecināties par izdarīto secinājumu pamatotību. Šī ir vispārēja kārtība atkāpju pamatošanā, kas nostiprināta, piemēram, arī Ministru kabineta 2021.gada 15.jūnija noteikumu Nr.384 </w:t>
      </w:r>
      <w:r w:rsidR="00000000" w:rsidRPr="00000000" w:rsidDel="00000000">
        <w:rPr>
          <w:i w:val="1"/>
          <w:rtl w:val="0"/>
        </w:rPr>
        <w:t xml:space="preserve">“Būvju tehniskās apsekošanas būvnormatīvs LBN 405-21”</w:t>
      </w:r>
      <w:r w:rsidR="00000000" w:rsidRPr="00000000" w:rsidDel="00000000">
        <w:rPr>
          <w:rtl w:val="0"/>
        </w:rPr>
        <w:t xml:space="preserve"> 23.2.apakšpunktā un 24.punktā.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ierosinātājam un būvspeciālistiem regulējuma izmaiņas nerada acīmredzamas papildus izmaksas. Pašlaik būvspeciālistiem pieejami visi piemērojamie standarti, tai skaitā noteikumu projekta anotācijā minētie, bez ierobežojuma SIA "Latvijas Valsts standarts" tīmekļa 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ierosinātājam un būvkomersantam regulējuma izmaiņas nerada acīmredzamas papildus izmaksas. Pašlaik būvkomersantu būvspeciālistiem pieejami visi piemērojamie standarti, tai skaitā noteikumu projekta anotācijā minētie, bez ierobežojuma SIA "Latvijas Valsts standarts" tīmekļa vietnē.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Būvkonstrukciju projektētāju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https://tapportals.mk.gov.lv/public_participation/133ea3f3-f9e4-43e9-888d-31cb68bd9510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Būvkonstrukciju projektētāju asociācijas saņemts neoficiāls atzinums - saskaņojums.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21-TA-146</w:t>
    </w:r>
    <w:r>
      <w:br/>
    </w:r>
    <w:r w:rsidR="00000000" w:rsidRPr="00000000" w:rsidDel="00000000">
      <w:rPr>
        <w:rtl w:val="0"/>
      </w:rPr>
      <w:t xml:space="preserve">Izdrukāts 29.07.2026. 22.12 - 3.0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21-TA-146</w:t>
    </w:r>
    <w:r>
      <w:br/>
    </w:r>
    <w:r w:rsidR="00000000" w:rsidRPr="00000000" w:rsidDel="00000000">
      <w:rPr>
        <w:rtl w:val="0"/>
      </w:rPr>
      <w:t xml:space="preserve">Izdrukāts 29.07.2026. 22.12 - 3.0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anotācija_(ex_ante)_21-TA-146.docx</dc:title>
</cp:coreProperties>
</file>

<file path=docProps/custom.xml><?xml version="1.0" encoding="utf-8"?>
<Properties xmlns="http://schemas.openxmlformats.org/officeDocument/2006/custom-properties" xmlns:vt="http://schemas.openxmlformats.org/officeDocument/2006/docPropsVTypes"/>
</file>