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"Kritiskās infrastruktūras apzināšanas, darbības nepārtrauktības, drošības un noturības pasākumu plānošanas, īstenošanas un incidentu paziņošanas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22.</w:t>
      </w:r>
      <w:r w:rsidR="00000000" w:rsidRPr="00000000" w:rsidDel="00000000">
        <w:rPr>
          <w:vertAlign w:val="superscript"/>
          <w:rtl w:val="0"/>
        </w:rPr>
        <w:t xml:space="preserve">2</w:t>
      </w:r>
      <w:r w:rsidR="00000000" w:rsidRPr="00000000" w:rsidDel="00000000">
        <w:rPr>
          <w:rtl w:val="0"/>
        </w:rPr>
        <w:t xml:space="preserve"> panta sestā daļa, 36.</w:t>
      </w:r>
      <w:r w:rsidR="00000000" w:rsidRPr="00000000" w:rsidDel="00000000">
        <w:rPr>
          <w:vertAlign w:val="superscript"/>
          <w:rtl w:val="0"/>
        </w:rPr>
        <w:t xml:space="preserve">1 </w:t>
      </w:r>
      <w:r w:rsidR="00000000" w:rsidRPr="00000000" w:rsidDel="00000000">
        <w:rPr>
          <w:rtl w:val="0"/>
        </w:rPr>
        <w:t xml:space="preserve">panta trešā daļa un 36.</w:t>
      </w:r>
      <w:r w:rsidR="00000000" w:rsidRPr="00000000" w:rsidDel="00000000">
        <w:rPr>
          <w:vertAlign w:val="superscript"/>
          <w:rtl w:val="0"/>
        </w:rPr>
        <w:t xml:space="preserve">2</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stirpināt kritiskās infrastruktūras noturību Latvijā, sekmējot tās noturību pret dažādiem apdraudējumiem un incidentiem, kā arī pārņemt 2022.gada 14.decembra Eiropas Parlamenta un Padomes Direktīvas (ES) 2022/2557  par kritisko vienību noturību un Padomes Direktīvas 2008/114/EK atcelšanu (turpmāk - Direktīva) prasības kritiskās infrastruktūras noturības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8. decembrī tika pieņemta Padomes Direktīva 2008/114/EK par to, lai apzinātu un noteiktu Eiropas Kritisko infrastruktūru un novērtētu vajadzību uzlabot tās aizsardzību (turpmāk – 2008/114/EK direktīva), kurā paredzēta procedūra Eiropas kritiskās infrastruktūras noteikšanai tikai enerģētikas un transporta nozarē, kuras darbības traucēšanai vai iznīcināšanai būtu būtiska pārrobežu ietekme vismaz uz divām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2008/114/EK noteikumi pārņemti nacionālajos tiesību aktos ar 2010. gada 29. aprīļa grozījumiem Nacionālās drošības likumā (turpmāk – Likums), kā arī ar 2021. gada 6. jūlija Ministru kabineta noteikumiem Nr.508 “Kritiskās infrastruktūras, tajā skaitā Eiropas kritiskās infrastruktūras, apzināšanas, drošības pasākumu un darbības nepārtrauktības plānošanas un īstenošanas kārtība” (turpmāk – MKN 508), kas tika izdoti, pamatojoties uz Likuma 22.</w:t>
      </w:r>
      <w:r w:rsidR="00000000" w:rsidRPr="00000000" w:rsidDel="00000000">
        <w:rPr>
          <w:vertAlign w:val="superscript"/>
          <w:rtl w:val="0"/>
        </w:rPr>
        <w:t xml:space="preserve">2</w:t>
      </w:r>
      <w:r w:rsidR="00000000" w:rsidRPr="00000000" w:rsidDel="00000000">
        <w:rPr>
          <w:rtl w:val="0"/>
        </w:rPr>
        <w:t xml:space="preserve">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Likums, gan Noteikumi noteica plašākas prasības, nekā tika noteikts Direktīvā 2008/114/EK, un attiecas uz visa veida kritisko infrastruktūru, jo Direktīvas 2008/114/EK 11. pants un 3. panta 3. punkts paredzēja iespēju apzināt citas nozares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2008/114/EK pieņemšanas neviena Latvijas Republikas nacionālā kritiskā infrastruktūra netika atzīta par Eiropas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Eiropas Komisijas veiktajā Direktīvas 2008/114/EK izvērtējumā tika secināts, ka nozares, kurās izmanto kritisko infrastruktūru, ir arvien vairāk savstarpēji saistītas un 2008/114/EK direktīvā noteiktie pārrobežu darbības un aizsardzības pasākumi, kas attiecas tikai uz divām nozarēm, nav pietiekami, lai novērstu kritiskās infrastruktūras darbības traucējumus. Tādēļ tika pieņemts lēmums izstrādāt jaunu direktīvu, lai noteiktu kritisko vienību kā iekšējā tirgus darbībai būtiski svarīgu pakalpojumu sniedzēju, kā arī noteiktu minimālo saskaņoto pienākumu kopumu un saskaņotus, mērķtiecīgus atbalsta un uzraudzības pasākumus nolūkā palielināt kritisko vienību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16. decembrī Eiropas Komisija nāca klajā ar priekšlikumu Direktīvai, kuru raksturo pieejas maiņa no kritiskās infrastruktūras aizsardzības uz kritisko vienību noturību, kā arī ietvara paplašināšana uz 11 nozarēm, papildinot esošās divas nozares (enerģētika un transports) ar 9 jaunām (banku nozare, finanšu tirgus infrastruktūra, veselība, dzeramais ūdens, notekūdeņi, digitālā infrastruktūra, valsts pārvaldes vienības, kosmoss, kā arī pārtikas ražošana, pārstrādāšana un izplatīšana). Direktīva tika pieņemta 2022.gada 14.decembrī.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Direktīvas piektā panta pirmo punktu, Eiropas Komisija 2023.gada 25.jūlijā pieņēma deleģēto regulu (ES)2023/2450, ar ko papildina Direktīvu, nosakot pamatpakalpojumu sarakstu un izveidojot pamatpakalpojumu neizsmeļošu sarakstu Direktīvas pielikumā noteiktajās 11 nozarēs un apakšnozarēs. Saraksts jāizmanto dalībvalstu kompetentajām iestādēm, lai veiktu riska novērtējumu, un pēc tam šis riska novērtējums jāizmanto kritisko vienību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 (ES) 2022/2557  atceļ Padomes Direktīvu 2008/114/EK, kā arī ņemot vērā 2025.gada 28.jūnija grozījumus Nacionālās drošības likumā, Ministru kabinetam jāizdod jauni noteikumi, lai izpildītu Likumā ietverto deleģējumu: 1) noteikt kritiskās infrastruktūras, tajā skaitā Eiropas mērogā īpaši nozīmīgas kritiskās infrastruktūras, apzināšanas, drošības pasākumu, darbības nepārtrauktības un noturības plānošanas un īstenošanas, incidentu paziņošanas kārtību, kā arī noturības pasākumus; 2) noteikt Kritiskās infrastruktūras noturības stratēģijas saturu; 3) noteikt Valsts kritiskās infrastruktūras riska novērtējuma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36.</w:t>
      </w:r>
      <w:r w:rsidR="00000000" w:rsidRPr="00000000" w:rsidDel="00000000">
        <w:rPr>
          <w:vertAlign w:val="superscript"/>
          <w:rtl w:val="0"/>
        </w:rPr>
        <w:t xml:space="preserve">1</w:t>
      </w:r>
      <w:r w:rsidR="00000000" w:rsidRPr="00000000" w:rsidDel="00000000">
        <w:rPr>
          <w:rtl w:val="0"/>
        </w:rPr>
        <w:t xml:space="preserve"> panta trešo daļu Ministru kabinets nosaka Kritiskās infrastruktūras noturības stratēģijas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Likuma 36.</w:t>
      </w:r>
      <w:r w:rsidR="00000000" w:rsidRPr="00000000" w:rsidDel="00000000">
        <w:rPr>
          <w:vertAlign w:val="superscript"/>
          <w:rtl w:val="0"/>
        </w:rPr>
        <w:t xml:space="preserve">2</w:t>
      </w:r>
      <w:r w:rsidR="00000000" w:rsidRPr="00000000" w:rsidDel="00000000">
        <w:rPr>
          <w:rtl w:val="0"/>
        </w:rPr>
        <w:t xml:space="preserve"> panta trešo daļu Ministru kabinets nosaka Valsts kritiskās infrastruktūras riska novērtējuma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Likuma 22.</w:t>
      </w:r>
      <w:r w:rsidR="00000000" w:rsidRPr="00000000" w:rsidDel="00000000">
        <w:rPr>
          <w:vertAlign w:val="superscript"/>
          <w:rtl w:val="0"/>
        </w:rPr>
        <w:t xml:space="preserve">2</w:t>
      </w:r>
      <w:r w:rsidR="00000000" w:rsidRPr="00000000" w:rsidDel="00000000">
        <w:rPr>
          <w:rtl w:val="0"/>
        </w:rPr>
        <w:t xml:space="preserve"> panta sesto daļu Ministru kabinets nosaka kritiskās infrastruktūras, tajā skaitā Eiropas mērogā īpaši nozīmīgas kritiskās infrastruktūras, apzināšanas, drošības pasākumu, darbības nepārtrauktības un noturības plānošanas un īstenošanas, incidentu paziņošanas kārtību, kā arī noturības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Nacionālās kiberdrošības likuma (NKDL) 24.pants nosaka informācijas un komunikācijas tehnoloģiju kritiskās infrastruktūras jēdzienu un to, ka informācijas un komunikācijas tehnoloģiju kritiskās infrastruktūras drošības prasības, pasākumus un to plānošanas un īstenošanas kārtību nosaka Ministru kabinets - ar Ministru kabineta 2025.gada 25.jūnija noteikumiem Nr.397 “Minimālās kiberdrošības prasības” (MKN Nr.397), šie Noteikumi neattiecas uz informācijas un komunikācijas tehnoloģiju kritisko infrastruktūru NKDL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kritiskās infrastruktūras īpašnieka vai tiesiskā valdītāja īpašuma vai valdījumā atrodas arī cita veida kritiskā infrastruktūra, tad uz to ir attiecināmi gan šie Noteikumi, gan MKN Nr.397.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globālo un reģionālo drošības vidi, NATO noturības rekomendācijas tās dalībvalstīm (</w:t>
      </w:r>
      <w:r w:rsidR="00000000" w:rsidRPr="00000000" w:rsidDel="00000000">
        <w:rPr>
          <w:i w:val="1"/>
          <w:u w:val="single"/>
          <w:rtl w:val="0"/>
        </w:rPr>
        <w:t xml:space="preserve">https://www.nato.int/en/what-we-do/deterrence-and-defence/resilience-civil-preparedness-and-article-3 </w:t>
      </w:r>
      <w:r w:rsidR="00000000" w:rsidRPr="00000000" w:rsidDel="00000000">
        <w:rPr>
          <w:rtl w:val="0"/>
        </w:rPr>
        <w:t xml:space="preserve">) un Latvijas Visaptverošas valsts aizsardzības sistēmu, projektā ir ietvertas papildu speciāls regulējums atbilstoši Latvijas nacionālās drošības interesēm, nosakot nepieciešamību plānot saistītās darbības arī valsts apdraudējuma gadījumam.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5.punkts nosaka Kritiskās infrastruktūras noturības stratēģijas saturu, kurā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stratēģiskos mērķus un prioritātes kritiskās infrastruktūras noturības jomā, tostarp, ņemot vērā pārrobežu un starpnozaru atkarību un savstarpējo 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pārvaldības sistēmas aprakstu, lai sasniegtu stratēģiskos mērķus un prioritātes, tostarp aprakstu par dažādo Kritiskās infrastruktūras noturības stratēģijas īstenošanā iesaistīto iestāžu, kritiskās infrastruktūras īpašnieka vai tiesiskā valdītāja un citu personu uzdevumiem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sarakstu ar valsts nozaru dokumentiem, kuriem ir saikne ar kritiskās infrastruktūras noturības, incidentu paziņošanas un darbības nepārtrauktības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aprakstu, kas nepieciešami, lai palielinātu kritiskās infrastruktūras noturību, tostarp Valsts kritiskās infrastruktūras riska novērtējuma kopsavilkumu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apzināšanas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atbalsta pasākumu aprakstu, tostarp pasākumus, kas vērsti uz sadarbības stiprināšanu starp publisko un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kompetento iestāžu sadarbības kārtību, tostarp ar Nacionālo kiberdrošības centru, Krīzes vadības centru un Latvijas Banku, kā arī ar citu Eiropas Savienības dalībvalstu iestādēm un Eiropas Savienības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sarakstu ar Kritiskās infrastruktūras noturības stratēģijas īstenošanā iesaistītajām iestādēm un ieinteresētajām iestādēm un juridiskajām personām, kas nav kritiskā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ieviesto pasākumu aprakstu, kuru mērķis ir sekmēt, lai mazie un vidējie uzņēmumi, kā tas noteikts Komisijas 2003.gada 6.maija Ieteikuma 2003/361/EK par mikrouzņēmumu, mazo un vidējo uzņēmumu definīciju pielikumā, kuri ir noteikti par kritisko infrastruktūru, īstenotu pienākumus saskaņā ar šo noteikumu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kritiskas infrastruktūras gatavības pasākumus un darbības principus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un 7.punkts nosaka Iekšlietu ministrijas uzdevumus: 1) viena mēneša laikā pēc apstiprināšanas informēt Noteikumu 5.8. apakšpunktā minētās iestādes un personas, kā arī kritiskās infrastruktūras īpašniekus vai tiesiskos valdītājus par Kritiskās infrastruktūras noturības stratēģiju; 2) trīs mēnešu laikā pēc Kritiskās infrastruktūras noturības stratēģijas apstiprināšanas informēt par to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8.punkts nosaka Valsts kritiskās infrastruktūras riska novērtējuma saturu, kurā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analīzi par iespējamajiem dabas un cilvēka radītajiem apdraudējumiem, tostarp starpnozaru vai pārrobežu riskus, kas var ietekmēt kritiskās infrastruktūras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nozaru līmeņa riska novērtējumus, tostarp riska novērtējumu, kas izstrādāts saskaņā ar Valsts civilās aizsardzības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nozaru savstarpējo atkarību un ietekmi, ko kritiskās infrastruktūras incidenti vienā nozarē var radīt citās, tostarp būtiskus riskus iedzīvotājiem un iekšējam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iepriekšējiem incidentiem, kas paziņoti saskaņā Noteikumu 5.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riskiem kritiskajai infrastruktūrai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 un 10. punkts nosaka, ka Iekšlietu ministrija, ievērojot informācijas aizsardzības prasības: 1) viena mēneša laikā pēc apstiprināšanas dara zināmu Valsts kritiskās infrastruktūras riska novērtējumu vai tā daļu kritiskās infrastruktūras īpašniekiem vai tiesiskajiem valdītājiem, izmantojot kompetentās valsts drošības iestādes vai nozares ministrijas starpniecību; 2) trīs mēnešu laikā pēc Valsts kritiskās infrastruktūras riska novērtējuma apstiprināšanas informē Eiropas Komisiju par risku veidiem un novērtējuma rezultātiem katrā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3. nodaļa "Kritiskās infrastruktūras un Eiropas mērogā īpaši nozīmīgas kritiskās infrastruktūras apzināšana" ietver punktus, lai izpildītu Direktīvas, kas nosaka kompetentās iestādes kritiskās infrastruktūras apzināšanas procesā (11. punkts) un to uzdevumus (14.-19. punkti). Tiek saglabāta MKN 508 ietvertā pieeja, ka priekšlikumus par A, B un C kategorijas kritiskās infrastruktūras iekļaušanu kritiskās infrastruktūras kopumā sagatavo valsts drošības iestādes, savukārt Aizsardzības ministrija sagatavo priekšlikumus attiecībā uz D kategorijas kritiskās infrastruktūras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tiek izcelta nozares ministrijas loma kritiskās infrastruktūras apzināšanā,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nozares specifikai nosaka robežvērtības, kuras piemērojamas kritiskās infrastruktūras būtiskas traucējošās ietekmes noteikšanai saskaņā ar Noteikumu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 iespējamo nozares kritisko infrastruktūru un informē par to valsts drošības iestādes un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 iespējamo nozares Eiropas mērogā īpaši nozīmīgo kritisko infrastruktūru un informē par to Iekšlietu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mēneša laikā pēc tam, kad Ministru kabinets ir apstiprinājis kritiskās infrastruktūras kopumu, informē savas nozares D kategorijas kritiskās infrastruktūras īpašnieku vai tiesisko valdītāju par tā iekļaušanu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12.punkts paredz, ka apzinot kritisko infrastruktūru, kompetentās iestādes ņem vērā Valsts kritiskās infrastruktūras riska novērtējumu un Kritiskās infrastruktūras noturības stratēģiju, kā arī kritiskās infrastruktūras incidenta būtisku traucējošo ietekmi vismaz uz vienu valsts un sabiedrības pamatpakalpojumu, kas ir noteikts Komisijas 2023. gada 25. jūlija Deleģētās regulas (ES) 2023/2450, ar ko papildina Eiropas Parlamenta un Padomes Direktīvu (ES) 2022/2557, izveidojot pamatpakalpojumu sarakstu, 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13.punkts nosaka būtiskas traucējošās ietekmes kritērijus. Savukārt 14.1. apakšpunkts precizē, ka nozares ministrijas atbilstoši savas nozares specifikai nosaka robežvērtības, kuras piemērojamas kritiskās infrastruktūras būtiskas traucējošās ietekmes noteikšanai, lai nodrošinātu uz nozari balstītu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MKN 508, Noteikumos ir precizēta D kategorijas kritiskās infrastruktūras īpašnieka vai tiesiskā valdītāja informēšanas kārtība par iekļaušanu kritiskās infrastruktūras kopumā, paredzot šo uzdevumu nozares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kritiskajai infrastruktūrai ir piešķirta A, B vai C kritiskās infrastruktūras kategorija, tad kritiskās infrastruktūras sniegtais pamatpakalpojums nav jādublē D kategorijā, jo kritiskās infrastruktūras sniegtais pamatpakalpojums ietilpst piešķirtajā A, B vai C kategorijā.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4.nodaļa "Kritiskās infrastruktūras noturības, darbības nepārtrauktības un drošības pasākumu plānošana un īstenošana" sastāv no četrām apakšnodaļām.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Kritiskās infrastruktūras riska pašnovērtējums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nosaka, ka kritiskās infrastruktūras īpašnieks vai tiesiskais valdītājs deviņu mēnešu laikā pēc paziņojuma saņemšanas par iekļaušanu kritiskās infrastruktūras kopumā un pēc tam vismaz reizi četros gados veic riska pašnovērtējumu, lai novērtētu riskus, kas varētu traucēt pamatpakalpojumu sniegšanu. Noteikumos lietotais termins "pamatpakalpojums" attiecināms uz būtiski svarīgu valsts un sabiedrības pamatfunkciju īstenošanas pakalpojumiem, tostarp pakalpojumiem, kas noteikti Komisijas 2023. gada 25. jūlija Deleģētajā regulā (ES) 2023/2450, ar ko papildina Eiropas Parlamenta un Padomes Direktīvu (ES) 2022/2557, izveidojot pamatpakalpojumu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riska pašnovērtējumam jāaptver (21. punkts) visi būtiskie apdraudējumi, kas varētu traucēt pamatpakalpojumu nepārtrauktu sniegšanu, ietverot visus attiecīgos dabas un cilvēka izraisītos riskus, tostarp starpsektoru un pārrobežu riskus, negadījumus, dabas katastrofas, ārkārtas medicīniskās situācijas un ārkārtas sabiedrības veselības situācijas, kā arī hibrīdapdraudējumu un militāru apdraudējumu. Riska pašnovērtējumā iekļauj arī informāciju par identificēto kritisko izejvielu un materiālu trūkumu, materiāltehnisko resursu nepieejamību un citas konstatētās ievainojamības.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novērtējums jāatjaunina ne retāk kā reizi četros gados vai agrāk,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īpašnieks vai tiesiskais valdītājs attiecībā uz kritisko infrastruktūru, kas pirms šo noteikumu spēkā stāšanās dienas jau ir iekļauta kritiskās infrastruktūras kopumā, riska pašnovērtējumu izstrādā līdz 2027.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MKN 508 kritiskās infrastruktūras riska pašnovērtējums ir jauna prasība, lai pārņemtu Direktīvas 12. panta prasības, kas ir loģisks un nepieciešams posms starp kritiskās infrastruktūras iekļaušanu kopumā un turpmāku noturības, drošības un darbības nepārtrauktības pasākumu plānošanu. Šī prasība ir attiecināma uz visām kritiskās infrastruktūras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arvien pieaugošo attālināti vadāmo ierīču apdraudējumu kritiskajai infrastruktūrai un pamatojoties uz Satiksmes ministrijas priekšlikumu, Noteikumos ir iekļauts 3. pielikums "Pamatnostādnes attālināti vadāmo ierīču radīto draudu pašnovērtējumam un nepieciešamo noturības, darbības nepārtrauktības un drošības pasākumu ieviešanai" saistībā ar Noteikumu 23.punktā noteikto, ka A, B un C kategorijas kritiskās infrastruktūras riska pašnovērtējumā papildus šo noteikumu 21. punktā minētajiem riskiem ņem vērā attālināti vadāmo ierīču draudus.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 un C kategorijas kritiskās infrastruktūras riska pašnovērtējuma atbilstību šajā nodaļā noteiktajām prasībām izvērtē un apstiprina kompetentā valsts drošības iestāde atbilstoši kritiskās infrastruktūras kopumā noteiktajai kompetencei. Tomēr atsevišķās prasības A, B un C kategorijai neliedz iespēju arī D kategorijas kritiskās infrastruktūras riska pašnovērtējuma ņemt vērā attālināti vadāmo ierīču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Noturības un darbības nepārtrauktības pasākumu plānošana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29.punkts nosaka, ka kritiskās infrastruktūras īpašnieks vai tiesiskais valdītājs, pamatojoties uz Valsts kritiskās infrastruktūras riska novērtējumu un kritiskās infrastruktūras riska pašnovērtējuma rezultātiem, veic samērīgus un atbilstošus tehniskus, drošības un organizatoriskus pasākumus, lai nodrošinātu kritiskās infrastruktūras noturību. 31.punkts nosaka, ka kritiskās infrastruktūras īpašnieks vai tiesiskais valdītājs desmit mēnešu laikā pēc informācijas saņemšanas par iekļaušanu kritiskās infrastruktūras kopumā sagatavo noturības plānu Noteikumu 29.punktā noteikto pasākumu nodrošināšanai vai līdzvērtīgu dokumentu un saskaņo to ar atbildīgo nozares ministriju vai atbildīgajām nozares ministrijām, ja kritiskās infrastruktūras īpašniekam vai tiesiskajam valdītājam pieder vai ir valdījumā vairāku nozaru kritiskās infrastruktūras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kritiskās infrastruktūras īpašniekam vai tiesiskajam valdītājam ir vairāki kritiskās infrastruktūras kopumā iekļautie objekti, attiecīgais kritiskās infrastruktūras īpašnieks vai tiesiskais valdītājs izstrādā vienu visaptverošu noturības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īpašnieks vai tiesiskais valdītājs attiecībā uz kritisko infrastruktūru, kas pirms šo Noteikumu spēkā stāšanās dienas jau ir iekļauta kritiskās infrastruktūras kopumā, noturības plānu izstrādā līdz 2027.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508 noteiktais kritiskās infrastruktūras darbības nepārtrauktības plāns ir daļa no noturības plāna un ir ietverts Noteikumu 29.4. apakšpunktā, nosakot, ka kritiskās infrastruktūras noturības plānā iekļauj darbības nepārtrauktības nodrošināšanas pasākumus, tostarp darbības nepārtrauktības plānošanu valsts apdraudējuma gadījumam atbilstoši Noteikumu 1. pielikumam un saskaņo šo informāciju ar Aizsardzības ministriju (33. punkts), iesaistot pašvaldību, ja darbības nepārtrauktības pasākumi valsts apdraudējuma gadījumam skar pašvaldības kompetencē esošus jautājumus. Konsultācijas ar pašvaldībām tika iekļautas, pamatojoties uz Aizsardzības ministrijas priekšlikumiem.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Noturības plāns ir attiecināms uz visām kritiskās infrastruktūras kategorijām, kas saturiski lielākoties atbilst MKN 508 prasībām attiecībā uz drošības un darbības nepārtrauktības plānošanu. Ņemot vērā, ka Direktīvas 13.pants nosaka prasību pēc noturības plāna vai līdzvērtīga dokumenta attiecībā uz visām kritiskajām vienībām (kritiskās infrastruktūras īpašnieks vai tiesiskais valdītājs Likuma izpratnē), tas nozīmē D kategorijas kritiskās infrastruktūras īpašnieka vai tiesiskā valdītāja pielāgot iepriekš saskaņā ar MKN 508 izstrādāto darbības nepārtrauktības plānu Noteikumu noturības plāna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saglabāta MKN 508 pieeja, ka darbības nepārtrauktības pasākumu plānu saskaņo ar Aizsardzības ministriju un to izstrādē izmanto MKN 508 2.pielikuma vadlīnijas, kas jaunajos noteikumos ir 1. pielikums. Noteikumu 1.pielikuma tvērums atšķiras no MKN 508 2. pielikuma, ņemot vērā ka daži punkti saturiski vairāk atbilst Noteikumu 29. punktam attiecībā uz noturības plānu un pārcelti uz Noteikumu pamattekstu.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32.punkts nosaka, ka, ja kritiskai infrastruktūrai Eiropas Savienības vai nacionālajos tiesību aktos, civilās aizsardzības plānos, valsts apdraudējuma pārvarēšanas plānos, nozares darbības nepārtrauktības un noturības plānos vai katastrofu medicīnas plānos jau ir noteikti noturības pasākumi vai tai ir ārējā audita sertificēta un starptautiskajiem standartiem atbilstoša noturības nodrošināšanas sistēma, jauns noturības plāns netiek izstrādāts. Šādos gadījumos kritiskās infrastruktūras īpašnieks vai tiesiskais valdītājs sadarbībā ar kompetento iestādi nodrošina esošo noturības dokumentu atbilstību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 B un C kritiskās infrastruktūras drošības pasākumu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A, B un C kategorijas kritiskās infrastruktūras drošību reglamentējošie dokumenti un tajos iekļaujamā informācija arī ir daļa no kritiskās infrastruktūras noturības plāna. Attiecībā uz kritiskās infrastruktūras drošības pasākumu plānošanu un īstenošanu ir saglabāta līdz šim MKN 508 noteiktā kārtība. Salīdzinājumā ar MKN 508 drošības pasākumus reglamentējošo dokumentu prasības ir uzskaitītas Noteikumu 2. pielikumā un būtiskākās izmaiņas, salīdzinot ar MKN 508 1. pielikumu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- 6.punkts ir strukturēts apakšpunktos. Tas ir papildināts ar prasību noteikt rīcības algoritmus apdraudējuma un incidentu gadījumā, tostarp attālināti vadāmo ierīču draudu gadījumā, ņemot vērā NDL 22.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noteikto, ka  "A, B un C kategorijas kritiskās infrastruktūras īpašnieka vai tiesiskā valdītāja izveidotā iekšējās drošības dienesta apsardzes darbinieks vai tā apsardzes komersanta apsardzes darbinieks, kas sniedz apsardzes pakalpojumus attiecīgajā kritiskās infrastruktūras objektā, kritiskās infrastruktūras īpašnieka vai tiesiskā valdītāja uzdevumā ir tiesīgs pārtraukt attālināti vadāmas ierīces pārvietošanos gaisā, ūdenī vai uz sauszemes, ja tā apdraud apsargājamā kritiskās infrastruktūras objekta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punkts ir papildināts ar prasību noteikt rīcību gadījumā, ka objekta teritorijā iekļūst attālināti vadāmā ierīce.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punkts ietver personāla drošības prasības, ņemot vērā NDL 22.</w:t>
      </w:r>
      <w:r w:rsidR="00000000" w:rsidRPr="00000000" w:rsidDel="00000000">
        <w:rPr>
          <w:vertAlign w:val="superscript"/>
          <w:rtl w:val="0"/>
        </w:rPr>
        <w:t xml:space="preserve">2 </w:t>
      </w:r>
      <w:r w:rsidR="00000000" w:rsidRPr="00000000" w:rsidDel="00000000">
        <w:rPr>
          <w:rtl w:val="0"/>
        </w:rPr>
        <w:t xml:space="preserve">panta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daļās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- 12.punkts ietver prasības attiecībā uz fiziskās drošības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punkts precizē, ka drošības pasākumus reglamentējošajiem dokumentiem jānorāda pēdējās pārskatīšanas datums, kā arī veikto izmaiņu ieviešanas plāns vai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Noturības, darbības nepārtrauktības un drošības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46.punkts nosaka, ka Noteikumu 11. punktā minētajām kompetentajām iestādēm ir tiesības pieprasīt kritiskās infrastruktūras īpašniekam vai tiesiskajam valdītājam novērst konstatētos trūkumus noturības, darbības nepārtrauktības un drošības pasākumu plānošanā un īstenošanā iestāžu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 noteikumu 46.punktā noteiktajam valsts drošības iestādēm ir tiesības veikt A, B un C kategorijas kritiskās infrastruktūras objekta pārbaudi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7.pants nosaka, ka Satversmes aizsardzības biroja uzdevumos ietilpst īstenot uzraudzības funkcijas, tostarp uzraudzīt, kā informācijas un komunikācijas tehnoloģiju kritiskās infrastruktūras īpašnieki un tiesiskie valdītāji izpilda tiem NKDL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pamatojoties uz Noteikumu 48.punktu, ar kritiskās infrastruktūras īpašnieka vai tiesiskā valdītāja piekrišanu var  vērsties ar lūgumu Eiropas Komisijā par Eiropas Komisijas padomdevējas misijas organizēšanu, lai konsultētu attiecīgo kritiskās infrastruktūras īpašnieku vai valdītāju par Noteikumu 4.nodaļā noteikto pienākumu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 punkts nosaka kritiskās infrastruktūras īpašnieka vai tiesiskais valdītāja pienākumu norīkot par kritiskās infrastruktūras noturību atbildīgo personu un noteikt tās uzdevumus. Noteikumu 51. un 52. punktā tiek uzskaitītas prasības par kritiskās infrastruktūras noturību atbildīgajai personai (attiecināmas uz visu kategoriju kritisko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prasības A, B un C kategorijas kritiskajai infrastruktūrai, kritiskās infrastruktūras īpašnieks vai tiesiskais valdītājs, kuram ir vairāki kritiskās infrastruktūras A, B vai C kategorijas objekti, papildus var noteikt atbildīgo personu par katra kritiskās infrastruktūras objekta drošības pasākumu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 B vai C kategorijas kritiskās infrastruktūras noturību atbildīgā persona atbilst MKN 508 "par kritiskās infrastruktūras drošību atbildīgā persona" jēdzienam un uz to attiecināmi izbraukšanas aizliegumi uz Krievijas Federāciju un Baltkrievijas Republiku atbilstoši Nacionālo drošību apdraudošu pasākumu ierobežošanas likuma 2. panta 2. daļas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56.punktā ir uzskaitīti par kritiskās infrastruktūras noturību atbildīgās personas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augstāk minēto, D kategorijas kritiskās infrastruktūras īpašniekam vai tiesiskajam valdītājam jāizstrādā visa Noteikumos minētā dokumentācija, izņemot to, kas ir atsevišķi izdalīta attiecībā uz A, B vai C kategorijas kritisko infrastruktūru, kā arī jānodrošina Noteikumu prasību izpildi, ja atsevišķi nav norādīts, ka šī prasība ir attiecināma tikai uz A, B vai C kritisko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Nr.397 "Minimālās kiberdrošības prasības" 21. punkts nosaka, ka IKT kiberdrošības pārvaldības dokumentu kopumu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kiberdrošības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IKT resursu un informācijas sistēmu katalogs;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kiberrisku pārvaldības un IKT darbības nepārtrauktības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kiberincidentu žurnāls.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nodaļa "Incidentu paziņošana" ir noteikta kārtība, kādā kritiskās infrastruktūras īpašnieks ziņo par kritiskās infrastruktūras incidentiem, kas ietekmē vai var ietekmēt kritiskās infrastruktūras pamatpakalpojumu sniegšanu, kā arī incidentu paziņojumu saturu, iesniegšanas adresātus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izstrādāja informatīvā ziņojuma projektu “Par Iekšējā tirgus ārkārtas situācijas un noturības akta prasību ieviešanu” (25-TA-1323), kas paredz, ka Krīzes vadības centrs nodrošinās informācijas apmaiņu starp Latvijas iestādēm un Eiropas Komisiju, kā arī pēc nepieciešamības veiks </w:t>
      </w:r>
      <w:r w:rsidR="00000000" w:rsidRPr="00000000" w:rsidDel="00000000">
        <w:rPr>
          <w:i w:val="1"/>
          <w:rtl w:val="0"/>
        </w:rPr>
        <w:t xml:space="preserve">ad hoc </w:t>
      </w:r>
      <w:r w:rsidR="00000000" w:rsidRPr="00000000" w:rsidDel="00000000">
        <w:rPr>
          <w:rtl w:val="0"/>
        </w:rPr>
        <w:t xml:space="preserve">agrīnās brīdināšanas paziņojumus par būtiskiem incidentiem. Iekšējā tirgus ārkārtas situācijas un noturības aktā paredzētais krīžu mehānisms var risināt dažādas krīžu situācijas, atkarībā no krīzes veida un mēroga. Ņemot vērā, ka no iepriekš minētā informatīvā ziņojuma projekta izriet, ka Krīzes vadības centram sadarbībā ar atbildīgajām ministrijām un institūcijām līdz 2026. gada 29. maijam jāizstrādā vadlīnijas, kuras noteiks kārtību, kādā norisināsies informācijas apmaiņa nacionālā līmenī, atbilstoši Iekšējā tirgus ārkārtas situācijas un noturības aktam , Noteikumi tiks salāgoti ar Krīzes vadības centra izstrādāto kārtību un tiks attiecīgi grozīti attiecībā uz kritiskās infrastruktūras incidentu paziņošanas kārtību, ja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fiziskas personas, kuras saskaņā ar Nacionālās drošības likuma 22.2 pantu ir kritiskās infrastruktūras īpašnieki vai tiesiskie valdītāji. Tāpat Noteikumu projekts ietekmēs fiziskās personas – kritiskās infrastruktūras vai Eiropas mēroga īpaši nozīmīgās infrastruktūras īpašnieku vai tiesisko valdītāju, par kritiskās infrastruktūras noturību atbildīgo personu,  kritiskās infrastruktūras nodarbinātos vai kandidātus, ārpakalpojuma sniedzējus.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vai Baltkrievijas pilsoņi nevar kļūt par kritiskās infrastruktūras vai Eiropas mēroga īpaši nozīmīgās infrastruktūras īpašnieku, tiesisko valdītāju vai patieso labuma guvēju, kā arī Krievijai vai Baltkrievijai piederīgām personām aizliegts ieņemt amatus kritiskās infrastruktūras un Eiropas mērogā īpaši nozīmīgas kritiskās infrastruktūras pārvaldes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darbiniekam vai attiecīgā amata pretendentam tiek liegts darbs, kas ir saistīts ar piekļuvi kritiskās infrastruktūras vai Eiropas mērogā īpaši nozīmīgas kritiskās infrastruktūras funkcionēšanai nozīmīgai informācijai vai tehnoloģiskajām iekārtām, ja par šo personu ir saņemts negatīvs valsts drošības iestādes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atzītas par kritisko infrastruktūru.
Juridiskās personas, kas sniedz nozīmīgu pakalpojumu kritiskajā infrastruktūrā vai Eiropas mērogā īpaši nozīmīgā kritiskajā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kritiskās infrastruktūras īpašniekus, tiesiskos valdītājus un patiesos labuma guvējus, kā arī komersantus, kas sniedz nozīmīgu pakalpojumu kritiskajā infrastruktūrā vai Eiropas mērogā īpaši nozīmīgā kritiskajā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drošības iestādes un ministrijas, kuras veiks kritiskās infrastruktūras apzināšanas pasākumus, kā arī drošības pasākumu, incidentu paziņošanas, darbības nepārtrauktības un noturības pasākumu plānošanas un īstenošanas uzraudzību atbilstoši Noteikumos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ārpakalpojuma sniedzējus, kas sniedz nozīmīgu pakalpojumu kritiskajā infrastruktūrā vai Eiropas mērogā īpaši nozīmīgā kritiskajā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Nacionālās drošības likuma un Noteikumos ietvertais regulējums nenosaka precīzu subjektu skaitu, administratīvās izmaksas nav iespējams precīzi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attieksies uz nozarēm, kurās tiks vai jau tika apzināta kritiskā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kopums aptver dažādas sabiedrībai svarīgas nozares, kuras ir būtiskas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Stiprinot kritiskās infrastruktūras noturību, tiek nodrošināta iepriekš minēto svarīgu sabiedrības funkciju īstenošanas pakalpojumu nepārtrauktība, mazināti riski, ka incidentu rezultātā netiks neatgriezeniski vai ilglaicīgi traucēta sabiedrībai svarīgu pakalpojumu saņemšana, un citu negatīvo ietekmi uz sabiedrībai ikdienā svarīgiem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 īpašnieki un tiesiskie valdītāji nevarēs nodarbināt Krievijai un Baltkrievijai piederīgās personas darbam ar kritiskās infrastruktūras vai Eiropas mērogā īpaši nozīmīgas kritiskās infrastruktūras funkcionēšanai nozīmīgo informāciju vai tehnoloģiskajām iekārtām, kā arī citas personas, par kurām ir saņemts negatīvs valsts drošības iestādes atzinums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kas atzītas par kritisko infrastruktūru.
Juridiskās personas, kas sniedz nozīmīgu pakalpojumu kritiskajā infrastruktūrā vai Eiropas mērogā īpaši nozīmīgā kritiskajā infrastruktūrā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noteikt precīzu ietekmi uz juridiskām personām, ņemot vērā, ka ietekme ir atkarīga no jau esošā kritiskās infrastruktūras noturības līmeņa un nepieciešamajiem ieviešanas pasākumiem, kas Nacionālās drošības likuma 22.2 pantā noteiktajiem subjektiem jāīsteno atbilstoši noteikumu projektam. Ja subjekts jau ir noteikts par kritiskās infrastruktūras objektu, tad tam jau līdz šim ir bijis jāievēro prasības, kas noteiktas Nacionālās drošības likumā un Ministru kabineta 2021. gada 6. jūlija noteikumos Nr. 508 "Kritiskās infrastruktūras, tajā skaitā Eiropas kritiskās infrastruktūras, apzināšanas, drošības pasākumu un darbības nepārtrauktības plānošanas un īstenošanas kārtība". Attiecīgi ietekme būs tikai tām prasībām, kas no jauna tiek iekļautas noteikumu projektā.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paredzēto pasākumu īstenošana tiks nodrošināta iesaistītajām institūcijām piešķirto valsts budžeta līdzekļu ietvaros, ja nepieciešams, veicot finansējuma pārdali starp iesaistīto institūciju budžeta programmām, apakšprogrammām vai pasākumiem.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decembra Eiropas Parlamenta un Padomes Direktīva (ES) 2022/2557 par kritisko vienību noturību un Padomes Direktīvas 2008/114/EK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samazināt kritiskās infrastruktūras neaizsargātību un stiprināt to fizisko noturību Eiropas Savienībā, lai nodrošinātu pakalpojumu, kas ir būtiski svarīgi ekonomikai un sabiedrībai kopumā, netraucētu sniegšanu, kā arī stiprināt kritiskās infrastruktūras, kura sniedz šos pakalpojumus, noturību.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25. jūlija Komisijas Deleģētā regula (ES) 2023/2450, ar ko papildina Eiropas Parlamenta un Padomes Direktīvu (ES) 2022/2557, izveidojot pamatpakalpojumu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nodrošināt to, ka pakalpojumi, kas ir būtiski svarīgi sabiedrības funkciju vai saimniecisko darbību uzturēšanai, tiek netraucēti sniegti iekšējā tirgū un ka šādus pakalpojumus sniedzošās kritiskās infrastruktūras noturība tiek uzlabota. Atbilstoši Direktīvas 5. panta 1. punkta deleģējumam Komisija pieņēma deleģēto aktu, ar ko izveido pamatpakalpojumu neizsmeļošu sarakstu Direktīvas pielikumā noteiktajās nozarēs un apakšnozarēs. Saraksts jāizmanto kompetentajām iestādēm, lai veiktu riska novērtēšanu, un pēc tam šis riska novērtējums jāizmanto kritiskās infrastruktūras apzināšanai.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ir noteikts, ka dalībvalstīm ir jāpieņem kritiskās infrastruktūras noturības stratēģija (4. pants). Dalībvalstīm ir jāiekļauj minētajā stratēģijā tādu jau ieviestu atbalsta pasākumu apraksts, kuru mērķis ir sekmēt, lai mazie un vidējie uzņēmumi saskaņā ar 2003. gada 6. maija Komisijas Ieteikumu 2003/361/EK par mikrouzņēmumu, mazo un vidējo uzņēmumu definīciju, kas ir identificēti kā kritiskā infrastruktūra, īstenotu konkrētus pienākumus noturības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gada 14. decembra Eiropas Parlamenta un Padomes Direktīva (ES) 2022/2557 par kritisko vienību noturību un Padomes Direktīvas 2008/114/EK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valsts noslēpumu”, Komercnoslēpuma aizsardzības likumu, Informācijas atklātības likums, Ministru kabineta 2023.gada 19.decembra noteikumiem Nr.822 „ Valsts noslēpuma, Ziemeļatlantijas līguma organizācijas, Eiropas Savienības un ārvalstu institūciju klasificētās informācijas aizsardzības noteikumi”, 2004.gada 26.oktobra Ministru kabineta noteikumi Nr.887 „Valsts noslēpuma objektu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 un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2 </w:t>
            </w:r>
            <w:r w:rsidR="00000000" w:rsidRPr="00000000" w:rsidDel="00000000">
              <w:rPr>
                <w:sz w:val="24"/>
                <w:rtl w:val="0"/>
              </w:rPr>
              <w:t xml:space="preserve">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3.nodaļa, 32.punkts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3.nodaļa,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36.</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36.</w:t>
            </w:r>
            <w:r w:rsidR="00000000" w:rsidRPr="00000000" w:rsidDel="00000000">
              <w:rPr>
                <w:sz w:val="24"/>
                <w:vertAlign w:val="superscript"/>
                <w:rtl w:val="0"/>
              </w:rPr>
              <w:t xml:space="preserve">2</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 nodaļa,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36.</w:t>
            </w:r>
            <w:r w:rsidR="00000000" w:rsidRPr="00000000" w:rsidDel="00000000">
              <w:rPr>
                <w:sz w:val="24"/>
                <w:vertAlign w:val="superscript"/>
                <w:rtl w:val="0"/>
              </w:rPr>
              <w:t xml:space="preserve">1</w:t>
            </w:r>
            <w:r w:rsidR="00000000" w:rsidRPr="00000000" w:rsidDel="00000000">
              <w:rPr>
                <w:sz w:val="24"/>
                <w:rtl w:val="0"/>
              </w:rPr>
              <w:t xml:space="preserve"> panta pirmā un otrā daļa, pārejas noteikumu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36.</w:t>
            </w:r>
            <w:r w:rsidR="00000000" w:rsidRPr="00000000" w:rsidDel="00000000">
              <w:rPr>
                <w:sz w:val="24"/>
                <w:vertAlign w:val="superscript"/>
                <w:rtl w:val="0"/>
              </w:rPr>
              <w:t xml:space="preserve">1</w:t>
            </w:r>
            <w:r w:rsidR="00000000" w:rsidRPr="00000000" w:rsidDel="00000000">
              <w:rPr>
                <w:sz w:val="24"/>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r w:rsidR="00000000" w:rsidRPr="00000000" w:rsidDel="00000000">
              <w:rPr>
                <w:sz w:val="24"/>
                <w:vertAlign w:val="superscript"/>
                <w:rtl w:val="0"/>
              </w:rPr>
              <w:t xml:space="preserve">2</w:t>
            </w:r>
            <w:r w:rsidR="00000000" w:rsidRPr="00000000" w:rsidDel="00000000">
              <w:rPr>
                <w:sz w:val="24"/>
                <w:rtl w:val="0"/>
              </w:rPr>
              <w:t xml:space="preserve"> panta sestā daļa, 36.</w:t>
            </w:r>
            <w:r w:rsidR="00000000" w:rsidRPr="00000000" w:rsidDel="00000000">
              <w:rPr>
                <w:sz w:val="24"/>
                <w:vertAlign w:val="superscript"/>
                <w:rtl w:val="0"/>
              </w:rPr>
              <w:t xml:space="preserve">2 </w:t>
            </w:r>
            <w:r w:rsidR="00000000" w:rsidRPr="00000000" w:rsidDel="00000000">
              <w:rPr>
                <w:sz w:val="24"/>
                <w:rtl w:val="0"/>
              </w:rPr>
              <w:t xml:space="preserve">pants, pārejas noteikumu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36.</w:t>
            </w:r>
            <w:r w:rsidR="00000000" w:rsidRPr="00000000" w:rsidDel="00000000">
              <w:rPr>
                <w:sz w:val="24"/>
                <w:vertAlign w:val="superscript"/>
                <w:rtl w:val="0"/>
              </w:rPr>
              <w:t xml:space="preserve">2</w:t>
            </w:r>
            <w:r w:rsidR="00000000" w:rsidRPr="00000000" w:rsidDel="00000000">
              <w:rPr>
                <w:sz w:val="24"/>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10.panta pirmās daļas 3.punkts; Likuma 22.</w:t>
            </w:r>
            <w:r w:rsidR="00000000" w:rsidRPr="00000000" w:rsidDel="00000000">
              <w:rPr>
                <w:sz w:val="24"/>
                <w:vertAlign w:val="superscript"/>
                <w:rtl w:val="0"/>
              </w:rPr>
              <w:t xml:space="preserve">2</w:t>
            </w:r>
            <w:r w:rsidR="00000000" w:rsidRPr="00000000" w:rsidDel="00000000">
              <w:rPr>
                <w:sz w:val="24"/>
                <w:rtl w:val="0"/>
              </w:rPr>
              <w:t xml:space="preserve"> panta sestā daļa un pārejas noteikumu 31.punkts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 nodaļa un 69.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10.panta pirmās daļas 3.punkts; Likuma 22.</w:t>
            </w:r>
            <w:r w:rsidR="00000000" w:rsidRPr="00000000" w:rsidDel="00000000">
              <w:rPr>
                <w:sz w:val="24"/>
                <w:vertAlign w:val="superscript"/>
                <w:rtl w:val="0"/>
              </w:rPr>
              <w:t xml:space="preserve">2 </w:t>
            </w:r>
            <w:r w:rsidR="00000000" w:rsidRPr="00000000" w:rsidDel="00000000">
              <w:rPr>
                <w:sz w:val="24"/>
                <w:rtl w:val="0"/>
              </w:rPr>
              <w:t xml:space="preserve">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14.4.apakšpunkts, 17. punkts, 18.1. apakšpunkts un 69.punkts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10.panta pirmās daļas 3.punkts un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18.1. apakšpunkts,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pirmā daļa, 22.</w:t>
            </w:r>
            <w:r w:rsidR="00000000" w:rsidRPr="00000000" w:rsidDel="00000000">
              <w:rPr>
                <w:sz w:val="24"/>
                <w:vertAlign w:val="superscript"/>
                <w:rtl w:val="0"/>
              </w:rPr>
              <w:t xml:space="preserve">3</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trešā daļa, 22.</w:t>
            </w:r>
            <w:r w:rsidR="00000000" w:rsidRPr="00000000" w:rsidDel="00000000">
              <w:rPr>
                <w:sz w:val="24"/>
                <w:vertAlign w:val="superscript"/>
                <w:rtl w:val="0"/>
              </w:rPr>
              <w:t xml:space="preserve">3</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drošības iestāžu likuma 10.panta pirmās daļas 1.-5., 7., 8. un 10.punkts, 16.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Nacionālās kiberdrošības likuma 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9. un 10.punkts, 22.</w:t>
            </w:r>
            <w:r w:rsidR="00000000" w:rsidRPr="00000000" w:rsidDel="00000000">
              <w:rPr>
                <w:sz w:val="24"/>
                <w:vertAlign w:val="superscript"/>
                <w:rtl w:val="0"/>
              </w:rPr>
              <w:t xml:space="preserve">2</w:t>
            </w:r>
            <w:r w:rsidR="00000000" w:rsidRPr="00000000" w:rsidDel="00000000">
              <w:rPr>
                <w:sz w:val="24"/>
                <w:rtl w:val="0"/>
              </w:rPr>
              <w:t xml:space="preserve"> panta sestā daļa attiecībā uz kontaktpunkta un iestāžu pilnvarām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 daļā normu nav nepieciešams pārņemt, jo skar iestāžu darba organizācijas jautājumus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8.punkts un 10.punkts,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15.panta trešā daļa, 16. pants, 23.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drošības iestāžu likuma 10.panta pirmās daļas 1.-5.punkts, 7., 8. 10.punkts.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Nacionālās kiberdrošības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5.6. apakšpunkts, 31.,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9.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2.panta 8.punkts – Likuma 22.</w:t>
            </w:r>
            <w:r w:rsidR="00000000" w:rsidRPr="00000000" w:rsidDel="00000000">
              <w:rPr>
                <w:sz w:val="24"/>
                <w:vertAlign w:val="superscript"/>
                <w:rtl w:val="0"/>
              </w:rPr>
              <w:t xml:space="preserve">2 </w:t>
            </w:r>
            <w:r w:rsidR="00000000" w:rsidRPr="00000000" w:rsidDel="00000000">
              <w:rPr>
                <w:sz w:val="24"/>
                <w:rtl w:val="0"/>
              </w:rPr>
              <w:t xml:space="preserve">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2 </w:t>
            </w:r>
            <w:r w:rsidR="00000000" w:rsidRPr="00000000" w:rsidDel="00000000">
              <w:rPr>
                <w:sz w:val="24"/>
                <w:rtl w:val="0"/>
              </w:rPr>
              <w:t xml:space="preserve">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21. un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56.1.apakšpunkts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3.</w:t>
            </w:r>
            <w:r w:rsidR="00000000" w:rsidRPr="00000000" w:rsidDel="00000000">
              <w:rPr>
                <w:sz w:val="24"/>
                <w:vertAlign w:val="superscript"/>
                <w:rtl w:val="0"/>
              </w:rPr>
              <w:t xml:space="preserve">3</w:t>
            </w:r>
            <w:r w:rsidR="00000000" w:rsidRPr="00000000" w:rsidDel="00000000">
              <w:rPr>
                <w:sz w:val="24"/>
                <w:rtl w:val="0"/>
              </w:rPr>
              <w:t xml:space="preserve">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51.-55.punkti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3.3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51.-55.punkti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3.3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51.-55.punkti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57.,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60., 62.punkts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63.,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trešā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14.3. un 18.1.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2 </w:t>
            </w:r>
            <w:r w:rsidR="00000000" w:rsidRPr="00000000" w:rsidDel="00000000">
              <w:rPr>
                <w:sz w:val="24"/>
                <w:rtl w:val="0"/>
              </w:rPr>
              <w:t xml:space="preserve">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13.panta pirmās daļas 10.punkts,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2 </w:t>
            </w:r>
            <w:r w:rsidR="00000000" w:rsidRPr="00000000" w:rsidDel="00000000">
              <w:rPr>
                <w:sz w:val="24"/>
                <w:rtl w:val="0"/>
              </w:rPr>
              <w:t xml:space="preserve">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18.3.6.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10. punkts,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46.-49.punkts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10. punkts,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10. punkts, 22.</w:t>
            </w:r>
            <w:r w:rsidR="00000000" w:rsidRPr="00000000" w:rsidDel="00000000">
              <w:rPr>
                <w:sz w:val="24"/>
                <w:vertAlign w:val="superscript"/>
                <w:rtl w:val="0"/>
              </w:rPr>
              <w:t xml:space="preserve">2</w:t>
            </w:r>
            <w:r w:rsidR="00000000" w:rsidRPr="00000000" w:rsidDel="00000000">
              <w:rPr>
                <w:sz w:val="24"/>
                <w:rtl w:val="0"/>
              </w:rPr>
              <w:t xml:space="preserve"> panta ceturtā un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46., 47. un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22.2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likums, Administratīvā procesa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46., 47.,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13. panta pirmās daļas 10. punkts, 22.</w:t>
            </w:r>
            <w:r w:rsidR="00000000" w:rsidRPr="00000000" w:rsidDel="00000000">
              <w:rPr>
                <w:sz w:val="24"/>
                <w:vertAlign w:val="superscript"/>
                <w:rtl w:val="0"/>
              </w:rPr>
              <w:t xml:space="preserve">2</w:t>
            </w:r>
            <w:r w:rsidR="00000000" w:rsidRPr="00000000" w:rsidDel="00000000">
              <w:rPr>
                <w:sz w:val="24"/>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Nacionālās kiberdrošības likuma 4. un 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19. punkts,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46. un 47.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 panta 3. punktā noteiktais par tiesībām nepiemērot Direktīvu, ja pastāv līdzvērtīgi nacionālie nosacījumi nozaru regulējumā, netiek izmantots, jo attiecīgs speciālais regulējums nacionālā līmenī neaptver visus Direktīvas nosacījumus. Līdz ar to piemērojams likumprojektā ietvertais regulējums uz visiem kritiskās infrastruktūras objektiem, izņemot kritiskos finanšu pakalpojumus, kā tas ir noteikts Likuma 22.</w:t>
            </w:r>
            <w:r w:rsidR="00000000" w:rsidRPr="00000000" w:rsidDel="00000000">
              <w:rPr>
                <w:sz w:val="24"/>
                <w:vertAlign w:val="superscript"/>
                <w:rtl w:val="0"/>
              </w:rPr>
              <w:t xml:space="preserve">2</w:t>
            </w:r>
            <w:r w:rsidR="00000000" w:rsidRPr="00000000" w:rsidDel="00000000">
              <w:rPr>
                <w:sz w:val="24"/>
                <w:rtl w:val="0"/>
              </w:rPr>
              <w:t xml:space="preserve"> panta pirmajā daļā un 22.</w:t>
            </w:r>
            <w:r w:rsidR="00000000" w:rsidRPr="00000000" w:rsidDel="00000000">
              <w:rPr>
                <w:sz w:val="24"/>
                <w:vertAlign w:val="superscript"/>
                <w:rtl w:val="0"/>
              </w:rPr>
              <w:t xml:space="preserve">3</w:t>
            </w:r>
            <w:r w:rsidR="00000000" w:rsidRPr="00000000" w:rsidDel="00000000">
              <w:rPr>
                <w:sz w:val="24"/>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3.pants neliedz dalībvalstīm pieņemt vai paturēt spēkā valsts tiesību aktu noteikumus nolūkā panākt augstāku kritisko vienību noturības līmeni, ar noteikumu, ka šādi noteikumi ir saderīgi ar Savienības tiesību aktos noteiktajiem dalībvalstu pienākumiem. Ņemot vērā šādu iespēju, Likumprojekts neierobežo kritiskās infrastruktūras tvērumu uz konkrētām 11 nozarēm, kā to šobrīd paredz Direktīva, bet var tikt piemērots jebkurai nozarei, kurā tiek apzināta kritiskā infrastruktūra, kas ir būtiska svarīgu sabiedrības funkciju īstenošanas, kā arī cilvēku veselības aizsardzības, drošības, ekonomiskās vai sociālās labklājības nodrošināšanai un kuru iznīcināšana vai darbības traucējumi būtiski ietekmētu valsts un sabiedrības pamatfunkciju īstenošanu. Šāda pieeja, kas pastāv vēl pirms Direktīvas spēkā stāšanās, ne tikai nodrošina tiesiskā regulējuma pielāgojamību mainīgajai apkārtējai videi, bet arī nodrošina jebkādas nozares kritiskās infrastruktūras noturības stiprināšanu, tādējādi nodrošinot visaptverošu pieeju nacionālās drošības izaicinājumiem. Attiecīgi likumprojekts paredz stingrākas prasības attiecībā uz kritisko infrastruktūru valsts drošības, sabiedriskās drošības, aizsardzības, tiesībaizsardzības jomā un digitālās infrastruktūras nozarē, izņemot kritiskos finanšu pakalpojumus, kas noteikti Likuma 22.</w:t>
            </w:r>
            <w:r w:rsidR="00000000" w:rsidRPr="00000000" w:rsidDel="00000000">
              <w:rPr>
                <w:sz w:val="24"/>
                <w:vertAlign w:val="superscript"/>
                <w:rtl w:val="0"/>
              </w:rPr>
              <w:t xml:space="preserve">3</w:t>
            </w:r>
            <w:r w:rsidR="00000000" w:rsidRPr="00000000" w:rsidDel="00000000">
              <w:rPr>
                <w:sz w:val="24"/>
                <w:rtl w:val="0"/>
              </w:rPr>
              <w:t xml:space="preserve"> pantā, nosakot, ka arī šajās nozarēs esošajai kritiskajai infrastruktūrai ir jāatbilst vispārējiem noturības pasākumiem (Direktīvas 1. panta 3., 6. un 7. punkts, 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2.panta 1.,4.,10.punktu un 6.pantu tiek paturēta rīcības brīvība apzināt kritisko infrastruktūru visās 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Direktīvas 16.pantā ietverto rīcības brīvību, lai neradītu papildus administratīvo slogu kritiskās infrastruktūras īpašniekiem un tiesiskajiem valdītājiem, tiesību aktos netiks noteikta obligāta prasība izmantot Eiropas un starptautisku standartu un tehnisku specifikāciju, kas attiecas uz kritiskajām vienībām piemērojamajiem drošības un noturības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9.panta 1. punkta otrās daļas otrajā teikumā ietvertā rīcības brīvība ir izmantota ar Likuma 13.panta pirmās daļas 8.punktu, 15.panta trešo daļu, Valsts drošības iestāžu likuma 10.panta pirmās daļas 1.-5., 7., 8. un 10.punktu, 16.pantu, Nacionālās kiberdrošības likuma 4.pantu. Direktīvas 9.panta 2.punkta trešajā teikumā ietvertā rīcības brīvība ir izmantota ar Likumprojekta 1.pantu, Likuma 13.panta pirmās daļas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10.panta 1.punktā noteiktā rīcības brīvība ir izmantota ar Likumprojekta 1.pantu, 2.panta 8.punktu – Likuma 13.panta pirmās daļas 10.punktu, 22.2 panta sesto daļu, kā arī Likuma 13.panta  pirmās daļas 8.punktu, 15.panta trešo daļu, 16. pantu, 23.panta pirmo un otro daļu, Valsts drošības iestāžu likuma 10.panta pirmās daļas 1.-5.punktu, 7., 8. 10.punktu, Nacionālās kiberdrošības likuma 4.pantu.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Sniegt informāciju Eiropas Komisijai atbilstoši Direktīvas 2022/2557 4.panta 3.punktā minētajam līdz 2026.gada 17.aprīlim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Sniegt informāciju Eiropas Komisijai atbilstoši Direktīvas 2022/2557 5.panta 4.punktā minētajam līdz 2026.gada 17.aprīlim un pēc tam pēc vajadzības vai vismaz reizi 4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Sniegt informāciju Eiropas Komisijai atbilstoši Direktīvas 2022/2557 7.panta 2.punktā minētajam līdz 2026.gada 17.jūlijam pēc tam pēc vajadzības vai vismaz reizi 4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Sniegt informāciju Eiropas Komisijai atbilstoši Direktīvas 2022/2557 17.panta 2.punktā un 18.panta 3.punktā minētajam līdz 2026.gada 17.jūlijam un pēc tam, kad apzina Eiropas mērogā īpaši nozīmīgu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25. jūlija Komisijas Deleģētā regula (ES) 2023/2450, ar ko papildina Eiropas Parlamenta un Padomes Direktīvu (ES) 2022/2557, izveidojot pamatpakalpojumu sarakstu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Satiksmes ministrija, Valsts drošības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Diskusija/apspriede/rakstveida priekšlikumi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steidzamības statusu, tas netika virzīts publiskai apspriešanai, lai nekavētu tā virzību. Tomēr projekts tika izsludināts Tiesību aktu portālā kā publiski pieejams, tādējādi sabiedrībai tika nodrošināta iespēja ar to iepazīties un sniegt atzinumu. Nevalstiskās organizācijas, kas sniedza atzinumus par Noteikumu projektu - Biedrība "Latvijas Drošības un aizsardzības industriju federācija", Latvijas Darba devēju konfederācija, Biedrība "Latvijas Informācijas un komunikācijas tehnoloģijas asociācija", Drošības profesionāļu asociācija.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Tieslietu ministrija
Viedās administrācijas un reģionālās attīstības ministrija
Aizsardzības ministrija
Ekonomikas ministrija
Klimata un enerģētikas ministrija
Veselības ministrija
Satiksmes ministrija
Iekšlietu ministrija
Kultūras ministrija
Finanšu ministrija
Labklājības ministrija
Valsts drošības dienests
Satversmes aizsardzības birojs
Militārās izlūkošanas un drošības dienests
Valsts ugunsdzēsības un glābšanas dienests
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tiesību normas, kas vērstas uz kritiskās infrastruktūras noturības stiprināšanu, kas ietver arī pakalpojumus, kas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tiesību normas, kas vērstas tostarp uz informācijas un komunikācijas tehnoloģiju kritiskās infrastruktūras noturības stiprināšanu, kas ietver arī pakalpojumus, kas ir būtiski svarīgu sabiedrības funkciju īstenošanas, kā arī cilvēku veselības aizsardzības, drošības, ekonomiskās vai sociālās labklājības nodrošināšanai un kuru iznīcināšana vai darbības traucējumi būtiski ietekmētu valsts un sabiedrības pamatfunkciju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25-TA-1988</w:t>
    </w:r>
    <w:r>
      <w:br/>
    </w:r>
    <w:r w:rsidR="00000000" w:rsidRPr="00000000" w:rsidDel="00000000">
      <w:rPr>
        <w:rtl w:val="0"/>
      </w:rPr>
      <w:t xml:space="preserve">Izdrukāts 29.07.2026. 22.43 - 3.0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25-TA-1988</w:t>
    </w:r>
    <w:r>
      <w:br/>
    </w:r>
    <w:r w:rsidR="00000000" w:rsidRPr="00000000" w:rsidDel="00000000">
      <w:rPr>
        <w:rtl w:val="0"/>
      </w:rPr>
      <w:t xml:space="preserve">Izdrukāts 29.07.2026. 22.43 - 3.0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anotācija_(ex_ante)_25-TA-1988.docx</dc:title>
</cp:coreProperties>
</file>

<file path=docProps/custom.xml><?xml version="1.0" encoding="utf-8"?>
<Properties xmlns="http://schemas.openxmlformats.org/officeDocument/2006/custom-properties" xmlns:vt="http://schemas.openxmlformats.org/officeDocument/2006/docPropsVTypes"/>
</file>