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"Nacionālās kiberdrošības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“Nacionālās kiberdrošības likums” (turpmāk – Likumprojekts) izstrādāts, lai pārņemtu Eiropas Parlamenta un Padomes ... Direktīvas (ES) Nr. ..., ar ko paredz pasākumus nolūkā panākt vienādi augsta līmeņa kiberdrošību visā Savienībā un ar ko atceļ </w:t>
      </w:r>
      <w:r w:rsidR="00000000" w:rsidRPr="00000000" w:rsidDel="00000000">
        <w:rPr>
          <w:rtl w:val="0"/>
        </w:rPr>
        <w:t xml:space="preserve">Eiropas Parlamenta un Padomes 2016. gada 6. jūlija Direktīvu Nr. 2016/1148 par pasākumiem nolūkā panākt vienādi augsta līmeņa tīklu un informācijas sistēmu drošību visā Savienībā, (turpmāk – NIS2 direktīva) noteiktos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NIS2 direktīvas pieņemšanu tiek veiktas apjomīgas izmaiņas Informācijas tehnoloģiju drošības likumā (turpmāk - ITDL) ietvertajā regulējumā. Ņemot vērā to, ka grozījumu apjoms ITDL pārsniedz pusi no pašreiz spēkā esošā likuma normu apjoma, pamatojoties uz Ministru kabineta 2009. gada 3. februāra noteikumu Nr.108 “Normatīvo aktu projektu sagatavošanas noteikumi” 66. punktu, tiek izstrādāts jauns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Jomās, kuras nav NIS2 direktīvas tvērumā, saturiski saglabāts Informācijas tehnoloģiju drošības likuma (turpmāk – ITDL)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nepieciešamība pamatojama arī  uz Aizsardzības ministrijas izstrādātā un 2022. gada 6.jūnijā Ministru kabinetā pieņemtā informatīvā ziņojuma “Par valsts kiberdrošības pārvaldības uzlabošanu” (21-TA-1699 IP) Ministru kabineta protokollēmuma 8. punktu, kas nosaka, ka Aizsardzības ministrijai līdz 2022. gada 31. decembrim nepieciešams izstrādāt informatīvā ziņojuma priekšlikumu ieviešanai nepieciešamos grozījumus tiesību aktos un noteiktā kārtībā iesniegt tos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aktualizēti Aizsardzības ministrijas un Latvijas Universitātes Matemātikas un informātikas institūta struktūrvienības (turpmāk – CERT.LV) uzdevumi un tiesības kontekstā ar jaunizveidojamo Nacionālo kiberdrošības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iekļautas NIS2 direktīvā noteiktos pasākumus kiberdrošības veicināšanai attiecībā uz būtisko un svarīgo pakalpojumu sniedzēju uzraudzību, nacionālo rīcībpolitiku kiberdrošības jomā (nacionālo kiberdrošības stratēģiju, kiberkrīžu pārvaldību) un rīcību informācijas tehnoloģiju drošības incidentu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deleģējums datu koplietošanas centru drošības prasību definēšanai, izstrādājot atsevišķus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 jauna iekļauti deleģējumi arī vienotā valsts interneta apmaiņas punkta (GLV-IX) pakalpojumu saņemšanai, valsts informācijas tehnoloģiju infrastruktūras un interneta resursu aizsardzībai pret pakalpojumatteices uzbrukumiem, kā arī instrukcijas izstrādei par pievienošanos publiskam atribūcijas paziņojumam vai par tā iniciēšanu.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uz Informācijas tehnoloģiju drošības likuma bāzes, aktualizējot un precizējot normas, kā arī papildinot ar jaunām saistībām, kas izriet no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Nacionālā kiberdrošības centra izveide (5. pants), kā arī izklāstīti Aizsardzības ministrijas un CERT.LV uzdevumi un tiesības kontekstā ar jaunizveidojamo  Nacionālo kiberdrošības centru (5., 6. un 7. pants), nosakot veicamos uzdevumus, sadarbības ietvarus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spēkā esošā Informācijas tehnoloģiju drošības likuma, Likumprojektā pilnveidots vienību loks, uz ko attiecināmas specifiskas informācijas drošības prasības, aizstājot pamata pakalpojumu un digitālo pakalpojumu sniedzēju subjektu kopumu ar būtisko pakalpojumu un svarīgo pakalpojumu sniedzēju kopumu. Būtisko un svarīgo pakalpojumu sniedzēji definēti Likumprojekta 15. un 16. pantā. Būtisko un svarīgo pakalpojumu sniedzējiem ir noteiktas prasības rīcībai informācijas tehnoloģiju drošības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Nacionālajam kiberdrošības centram būs uzraugošas funkcijas pār būtisko un svarīgo pakalpojumu sniedzējiem, Likumprojektā noteiktas prasības šo pakalpojumu sniedzējiem, kā arī tiesības Aizsardzības ministrijai noteikt sankcijas to neizpildes gadījumā – tiesības izdot administratīvu aktu (7. panta 3.apakšpunktā). Detalizēta administratīvo aktu noteikšanas kārtība tiks iestrādāta saistītos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 pantā noteikti personas datu apstrādes kritēriji, kas saistīti ar notikušu vai potenciālu kiberincidentu novēršanu, analīzi kontekstā ar citiem kiberincidentiem, sadarbību ar nacionālajiem un starptautiskajiem partneriem kiberincidentu novēršanā, kā arī iespējamu kiberincidentu novēršanas institūciju sadarbību ar Latvijas Republikas Zemessardzi.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subjektu atbilstību informācijas un komunikācijas tehnoloģiju sistēmu atbilstību minimālajām drošības prasībām, tā 23. pantā iestrādātas pamata prasības kiberdrošības pārvaldībai, apmācībām, kā arī atbildībai, konstatējot ievainojamību, nepilnību vai notiekošu kiberincidentu. Kā jauninājums Likumprojekta 25. pantā ietverta valsts un pašvaldību iesaiste koordinētā ievainojamību atklāšanas procesā nolūkā veicināt šo institūciju kiberdrošību un izpratni. Likumprojekta 18. pantā noteikts, ka valsts un pašvaldību institūciju informācijas sistēmas uztur Ministru kabinetam noteiktām prasībām atbilstošos datu centros, tādējādi ietverot deleģējumu datu koplietošanas centru drošības prasību definēšanai, izstrādājot atsevišķus Ministru kabineta noteikumus. Savukārt Likumprojekta 31. pantā noteikta informācijas tehnoloģiju kritiskās infrastruktūras aizsardzības pamatpasākumi, ko detalizēti atrunā Ministru kabineta noteikumos. Likumprojekta 21. panta pirmajā daļā noteikti elektronisko sakaru komersantu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nosaka kārtību kādā izveido Nacionālo informācijas tehnoloģiju drošības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iekļautas NIS2 direktīvas noteiktās prasības un pasākumi kiberdrošības veicināšanai attiecībā uz būtisko un svarīgo pakalpojumu sniedzēju uzraudzību, nacionālo rīcībpolitiku kiberdrošības jomā (nacionālo kiberdrošības stratēģiju, kiberkrīžu pārvaldību) un rīcību informācijas tehnoloģiju drošības incidentu gadījumā, papildinot nacionāli noteiktās prasības. Likumprojekta 36. pantā noteikta kārtība liela mēroga informācijas tehnoloģiju drošības incidentu un krīžu vadībai, nosakot atbildības sadalījumu, sadarbības ietvarus un gatavības veicināšanas pasākumus (apmācības, izspēles, kiberincidentu krīzes vadības plāna sagatavošanu). Likumprojekta 38. pants paredz rīcībpolitikas dokumenta – Nacionālās kiberdrošības stratēģijas – izstrādi, ietverot kiberdrošības pārvaldības stratēģiskos mērķus un modeli, tās īstenošanai nepieciešamos resursus, saistītos rīcībpolitikas dokumentus, kiberdrošības pārvaldībā iesaistīto valsts pārvaldes iestāžu lomu sadalījumu, kā arī sadarbības mehānismus (gan nacionāli, gan starptautiski). Lai nodrošinātu Nacionālajā kiberdrošības stratēģijā noteikto uzdevumu izpildi, kā jauninājums 38. panta 5. daļā ietverta prasība regulāri informēt Nacionālo informācijas tehnoloģiju drošības padomi par to izpildes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 jauna iekļauti deleģējumi arī vienotā valsts interneta apmaiņas punkta (GLV-IX) pakalpojumu saņemšanai, valsts informācijas tehnoloģiju infrastruktūras un interneta resursu aizsardzībai pret pakalpojumatteices uzbrukumiem, kā arī instrukcijas izstrādei par pievienošanos publiskam atribūcijas paziņojumam vai par tā iniciēšanu. Likumprojekta 30. pantā noteikta kārtība, kādā lemj par valsts informācijas tehnoloģiju infrastruktūras un interneta resursu aizsardzību pret pakalpojumatteices uzbrukumiem un aizsardzības pakalpojumu saņemšanu. Likumprojekta 39. pantā noteikta kārtība vienotā valsts interneta apmaiņas punkta (GLV-IX) pakalpojumu saņemšanai, kur paredzēta saistītu Ministru kabineta noteikumu izstrāde pakalpojumu saņemšanas kārtības un pakalpojumu saņēmēju (subjektu) noteikšanai. Likumprojekta 35. pantā ietvertas tiesības Ministru kabinetam noteikt kārtību par pievienošanos publiskam atribūcijas paziņojumam vai par tā iniciēšanu, kas ļaus atvieglot un pilnveidot paziņojumu saskaņošanu un izplatīšanu, ņemot vērā gan kiberincidentu skaita pieaugošo tendenci, gan starptautisko organizāciju un sabiedroto valstu arvien aktīvāku atribūcijas paziņojumu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CERT.LV provizoriskajām aplēsēm ar jaunu CERT.LV amata vietu izveidi un uzturēšanu saistītās izmaksas (tajā skaitā darba vietu iekārtošana un aprīkošana ar darba veikšanai nepieciešamajiem materiāltehniskajiem līdzekļiem, telefonsakaru nodrošināšana, darbam nepieciešamās programmatūras iegāde, personāla kvalifikācijas celšana u.c. izdevumi) laikposmā no 2022. līdz 2025. gadam būs aptuveni 1 887 417 </w:t>
      </w:r>
      <w:r w:rsidR="00000000" w:rsidRPr="00000000" w:rsidDel="00000000">
        <w:rPr>
          <w:i w:val="1"/>
          <w:rtl w:val="0"/>
        </w:rPr>
        <w:t xml:space="preserve">euro</w:t>
      </w:r>
      <w:r w:rsidR="00000000" w:rsidRPr="00000000" w:rsidDel="00000000">
        <w:rPr>
          <w:rtl w:val="0"/>
        </w:rPr>
        <w:t xml:space="preserve">. Izdevumi, kas saistīti ar papildu personāla piesaistei nepieciešamo darba vietu iekārtošanu un uzturēšanu, personāla apmācībām un citiem iepriekš minētajiem papildu izdevumiem AM jaunveidojamajā departamentā tiks segti esošā AM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Jaunveidojamā Nacionālā kiberdrošības centra personāla un citas izmaksas tiks finansētas no valsts budžeta programmu 97.00.00 “Nozaru vadība un politikas plānošana” un/vai 30.00.00 “Valsts aizsardzības politikas realizācija” atkarībā no izvēlētā institucionālā risinājuma esošā AM budžeta ietvaros, precizējot bāzes izdevumus 2023.–2025. gadam. Aprēķini atlīdzībai 2022.–2025. gadam tika veikti, ņemot vērā bāzes algas apmēru 2022.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AM un CERT.LV personāla amata vietu skaita izmaiņām un atalgojuma palielinājumu ir iekļauta AM informatīvajā ziņojumā 21-TA-1699 "Par valsts kiberdrošības pārvaldības uzlabošanu" (pieņemts Ministru kabineta 07.06.2022. sēdē, prot. Nr. 30., 4.§) (ierobežotas pieejamības informācija).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"Grozījums Ministru kabineta 2003. gada 29. aprīļa noteikumos Nr. 236 "Aizsardzības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lai noteiktu, ka Nacionālā kiberdrošības centra darbību nodrošina 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"Nacionālā kiberdrošības centra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lai noteiktu Nacionālā kiberdrošības centra sastāvu, kompetenci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“Grozījumi Ministru kabineta 2015. gada 28. jūlija noteikumos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lai noteiktu minimālās kiberdrošības prasības Nacionālā kiberdrošības likuma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“Kārtība, kādā Latvija iniciē vai pievienojas publiskam kiberincidenta atribūcijas paziņojumam”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lai noteiktu kārtību, kādā Latvija iniciē publisku kiberincidenta atribūcijas paziņojumu vai pievienojas citas valsts, Eiropas Savienības vai starptautiskās organizācijas iniciētam publiskam kiberincidenta atribūcijas paziņojumam.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 Direktīva (ES) Nr. ...., ar ko paredz pasākumus nolūkā panākt vienādi augsta līmeņa kiberdrošību visā Savienībā un ar ko atceļ Eiropas Parlamenta un Padomes 2016. gada 6. jūlija Direktīvu (ES) Nr. 2016/1148 par pasākumiem nolūkā panākt vienādi augsta līmeņa tīklu un informācijas sistēmu drošību visā Savienībā (NIS2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panta 1.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1.panta 4.apakšpunkts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1.panta 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panta 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panta 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panta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pants un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panta 4.3.11.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pants un 13. panta 2.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un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ants (arī 6. panta 1. un 2.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 panta 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 panta 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 panta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panta 4c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 panta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panta 5.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 panta 4.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panta 9.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panta 4.3.12.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un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panta 4.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 panta 4. daļas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panta 6.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panta 7.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35. pants un 2. panta 12.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ievietots publiskai apspriešanai 2022. gada 10.oktobrī.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22-TA-3012</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22-TA-3012</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anotācija_(ex_ante)_22-TA-3012.docx</dc:title>
</cp:coreProperties>
</file>

<file path=docProps/custom.xml><?xml version="1.0" encoding="utf-8"?>
<Properties xmlns="http://schemas.openxmlformats.org/officeDocument/2006/custom-properties" xmlns:vt="http://schemas.openxmlformats.org/officeDocument/2006/docPropsVTypes"/>
</file>