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Kredītiestāžu un ieguldījumu brokeru sabiedrību darbības atjaunošanas un noregulējuma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Kredītiestāžu un ieguldījumu brokeru sabiedrību darbības atjaunošanas un noregulējuma likumā” (turpmāk - likumprojekts) izstrādāts, lai Kredītiestāžu un ieguldījumu brokeru sabiedrību darbības atjaunošanas un noregulējuma likumā (turpmāk -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transponētu Eiropas Parlamenta un Padomes 2023. gada 13. decembra direktīvas (ES) 2023/2864, ar ko attiecībā uz Eiropas vienotā piekļuves punkta izveidi un darbību groza konkrētas direktīvas (turpmāk – Direktīva Nr. 2023/2864),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Direktīvu Nr. 2023/2864, tostarp tiek grozīta Eiropas Parlamenta un Padomes 2014. gada 15. maija direktīva 2014/59/ES, ar ko izveido kredītiestāžu un ieguldījumu brokeru sabiedrību atveseļošanas un noregulējuma režīmu un groza Padomes direktīvu 82/891/EEK un Eiropas Parlamenta un Padomes direktīvas 2001/24/EK, 2002/47/EK, 2004/25/EK, 2005/56/EK, 2007/36/EK, 2011/35/ES, 2012/30/ES un 2013/36/ES, un Eiropas Parlamenta un Padomes regulas (ES) Nr. 1093/2010 un (ES) Nr. 648/2012 (turpmāk – Direktīva Nr. 2014/59), iekļaujot tajā jaunu 128.a pantu “Informācijas pieejamība Eiropas vienotajā piekļuves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2014/59 128.a panta noteiktās prasības par informācijas nodošanu Eiropas vienotajam piekļuves punktam (European single access point) (turpmāk – ESAP), kas tiks izveidots saskaņā ar Eiropas Parlamenta un Padomes 2023. gada 13. decembra regulu (ES) 2023/2859, ar ko izveido Eiropas vienoto piekļuves punktu, kurš nodrošina centralizētu piekļuvi publiski pieejamai informācijai saistībā ar finanšu pakalpojumiem, kapitāla tirgiem un ilgtspēju (turpmāk – Regula Nr. 2023/2859), attiecas tikai uz Likuma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precizētu 2025. gada 28. martā transponētās Eiropas Parlamenta un Padomes 2024. gada 11. aprīļa direktīva (ES) 2024/1174 ar ko attiecībā uz minimuma prasības pašu kapitālam un atbilstīgajām saistībām dažiem aspektiem groza direktīvu 2014/59/ES un regulu (ES) Nr. 806/2014 (turpmāk – Direktīva Nr. 2024/1174) tiesību normas, kas nosaka likvidējamām vienībām pārskatu sniegšanas un informācijas publiskošanas pienākumu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lai ESAP tiktu nodota informāciju par grupas iekšējo finansiālo atbalstu, īpašā vadītāja iecelšanu, minimālā pašu kapitāla un atbilstīgo saistību prasību, maksājumu saistību izpildi un, par pieņemtajiem noregulējuma lēmumiem, un par piemērotajām sankcijām un administratīvajiem pasākumiem, kā arī noteiktu likvidējamām vienībām pārskatu sniegšanas un informācijas publiskošanas pienākumu apjoma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2023/2864 17. pantā “Transponēšana” noteikts, ka dalībvalstis līdz 2026. gada 10. janvārim pieņem un publicē normatīvos aktus, kas vajadzīgi, lai izpildītu šīs direktīvas prasības. Līdz ar to nekavējoties ir nepieciešams transponēt Likumā minēto Eiropas Savienības tiesību aktu, lai novērstu tādu valstij nelabvēlīgu seku iestāšanos, kas skar būtiskas valsts starptautiskās un finanšu intereses, ja Direktīva Nr. 2023/2864 netiek transponēta minētajā 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32. pants paredz, ka Latvijas Republikā reģistrēta grupas sabiedrība savā tīmekļvietnē publicē informāciju par to, vai tā ir vai nav iesaistījusies nolīgumā par grupas iekšējo finansiālo atbalstu, sniedzot nolīguma vispārējo nosacījumu aprakstu un nolīgumā iesaistījušos grupas sabiedrību nosaukumus, kā arī reizi gadā aktualizē publicēto informāciju, ievērojot normatīvajos aktos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42. panta trešajā daļā noteikts, ka Latvijas Banka informāciju par īpašā vadītāja iecelšanu publicē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64. panta piektā daļa paredz, ka iestādes vai finanšu sabiedrības, vismaz reizi gadā publisko informāciju par atbilstoša pašu kapitāla apjomu un atbilstīgo saistību apjomu; posteņu sastāvu, tostarp termiņa profils un prioritāte maksātnespējas procesā; noteikto minimālā pašu kapitāla un atbilstīgo saistību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91.pantā noteikts, ka Latvijas Bankai ir tiesības jebkuru maksājumu saistību izpildi saskaņā ar jebkuru līgumu, kurā noregulējamā iestāde ir puse, apturēt no dienas, kad paziņojums par apturēšanu publicēts, līdz nākamās darbdienas pusnaktij. Ja maksājuma vai piegādes saistības izpildes termiņš ir iestājies apturēšanas periodā, maksājuma vai piegādes saistību izpilda nekavējoties pēc apturēšanas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104.pants paredz, ka Latvijas Banka publicē savā tīmekļvietnē un nosūta Eiropas Banku iestādei publicēšanai Eiropas Banku iestādes tīmekļvietnē informāciju par pieņemtajiem noregulējuma lēmumiem. Latvijas Banka nosūta minēto informāciju oficiālajai obligātās informācijas glabāšanas sistēmai Finanšu instrumentu tirgus likuma izpratnē, ja noregulējamās iestādes akcijas, citus īpašumtiesību instrumentus vai parāda instrumentus ir atļauts tirgot regulētā tirgū, vai noregulējamās iestādes akcionāriem un zināmajiem kreditoriem, ja akcijas, īpašumtiesību instrumentus vai parāda instrumentus nav atļauts tirgot regulētā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130.panta pirmajā daļā noteikts, ka Latvijas Banka informāciju par sankcijām un administratīvajiem pasākumiem, kas piemēroti par šā likuma un uz tā pamata izdoto Latvijas Bankas noteikumu pārkāpumiem, ievieto savā tīmekļvietnē, norādot ziņas par personu un tās izdarīto pārkāpumu, kā arī par Latvijas Bankas izdotā administratīvā akta apstrīdēšanu un pārsūdzēšanu, un pieņemto nolēmumu.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2023/2859 1.pants paredz, ka līdz 2027. gada 10. jūlijam Eiropas Vērtspapīru un tirgu iestāde, kas izveidota ar Eiropas Parlamenta un Padomes  2010. gada 24. novembra Regulu (ES) Nr. 1095/2010, ar ko izveido Eiropas Uzraudzības iestādi (Eiropas Vērtspapīru un tirgu iestādi), groza Lēmumu Nr. 716/2009/EK un atceļ Komisijas Lēmumu 2009/77/EK, (turpmāk – EVTI) izveido un pārvalda ESAP, kas nodrošina centralizētu piekļuvi informācijai, ko publisko saskaņā ar Regulas Nr. 2023/2859 pielikumā uzskaitītajiem Savienības leģislatīvajiem aktiem, tostarp Direktīvā Nr. 2014/59 noteikto informāciju. ESAP funkcijas noteiktas regulas nr. 2023/2859 7.pantā.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reglamentējošais normatīvais akts, kurš attiecas uz uzņēmumiem, uz kuriem attiecas Direktīvas Nr. 2014/59 128.a panta noteiktās prasības par informācijas nodošanu ESAP, ir Kredītiestāžu un ieguldījumu brokeru sabiedrību darbības atjaunošanas un noregulējuma likums, tad, lai pārņemtu Direktīvas Nr. 2023/2864 prasības, ir jāveic grozījumi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2014/59 128.a panta “Informācijas pieejamība Eiropas vienotajā piekļuves punktā” prasības, kas izriet no Direktīvas Nr. 2023/2864, Likums papildināts 32. pants un 104. pants papildināts ar trešo, ceturto, piekto un sesto daļu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2014/59 128.a panta 1. punktā noteikts, ka no 2030. gada 10. janvāra dalībvalstis nodrošina, ka, publiskojot informāciju par grupas iekšējo finansiālo atbalstu, par īpašā vadītāja iecelšanu, regulētās vienības vienlaikus iesniedz minēto informāciju šā panta 3. punktā minētajai informācijas vākšanas struktūrai, lai tie būtu pieejami ESAP.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ESAP nododamās informācijas tehniskajām prasībām Direktīvas Nr. 2014/59 128.a panta 1.punktā noteikts, ka dalībvalstis nodrošina, ka informācija tiek iesniegta datu izgūšanai piemērotā formātā, kā definēts Regulas Nr. 2023/2859 2. panta 3) punktā, vai – ja to prasa Savienības vai valstu tiesību akti – mašīnlasāmā formātā, kā definēts minētās regulas 2. panta 4) punktā. Informācijai tiek pievienoti metadati, kas noteikti Direktīvas Nr. 2014/59 128.a panta 1. punkta b)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2014/59 128.a panta 2. punkts paredz, ka šā panta 1. punkta b) apakšpunkta ii) punkta izpildei dalībvalstis nodrošina, ka vienības iegūst juridiskās personas identifikatoru.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2014/59 128.a panta 4. un 5. punktā noteikts, ka no 2030. gada 10. janvāra dalībvalstis nodrošina, ka, publiskojot informāciju par minimālā pašu kapitāla un atbilstīgo saistību prasību, par maksājumu saistību izpildi, par pieņemtajiem noregulējuma lēmumiem, kā arī par piemērotajām sankcijām un administratīvajiem pasākumiem, regulētās vienības vienlaikus iesniedz minēto informāciju šā panta 3. punktā minētajai informācijas vākšanas struktūrai, lai tie būtu pieejami ESAP.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ESAP nododamās informācijas tehniskajām prasībām Direktīvas Nr. 2014/59 128.a panta 4. un 5. punktā noteikts, ka dalībvalstis nodrošina, ka informācija tiek iesniegta datu izgūšanai piemērotā formātā, kā definēts Regulas Nr. 2023/2859 2. panta 3) punktā. Informācijai tiek pievienoti metadati, kas noteikti Direktīvas Nr. 2014/59 128.a panta 4. punkta b)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Likuma 32. pantā pēc vārdiem “ tīmekļvietnē publicē” ar vārdiem “un vienlaikus iesniedz Latvijas Bankā".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Likuma 104. pantu ar trešo, ceturto, piekto un sesto daļu,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Banka ir uzskatāma par informācijas vākšanas struktūru Regulas Nr. 2023/2859 2. panta 2.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šī likuma 32. pantā, 42. panta trešajā daļā, 64. panta piektajā daļā, 91. panta pirmajā daļā,  104. panta otrajā daļā un 130. panta pirmajā daļā minēto informāciju nodod Eiropas vienotajam piekļuves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Šī likuma 32. panta pirmajā daļā un 64. panta piektajā minēto informāciju sniedz Regulas Nr. 2023/2859 2. panta 3. vai 4. punktā noteiktajā formātā. Informācija satur Regulas Nr. 2023/2859 7. panta 4. punkta “b”, “c” un “d” apakšpunktā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Šī likuma 42. panta trešajā daļā,  91. panta pirmajā daļā, otrajā daļā un 130. panta pirmajā daļā minēto informāciju Latvijas Banka sniedz Regulas Nr. 2023/2859 2. panta 3. punktā noteiktajā formātā. Informācija satur Regulas Nr. 2023/2859 7. panta 4. punkta “b” un “c” apakšpunktā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identifikators jeb LEI (Legal Entity Identifier) ir unikāls globāls uzņēmuma identifikācijas numurs, ko izdevusi Globālā juridisko personu identifikatoru fonda vietējā struktūrvienība. Finanšu iestādes un regulatori izmanto LEI, lai identificētu finanšu tirgu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identifikators ir 20 rakstzīmju, burtu un ciparu kods, kura pamatā ir ISO 17442 standarts, ko izstrādājusi Starptautiskā standartizācijas organizācija (ISO). Tas apkopo galveno atsauces datu informāciju, kas ļauj skaidri un unikāli identificēt juridiskas personas, kuras piedalās finanšu darījumos atbilstoši Komisijas deleģētās 2016. gada 14. jūlija regulas (ES) 2017/585 ar ko Eiropas Parlamenta un Padomes Regulu (ES) Nr. 600/2014 papildina attiecībā uz regulatīvajiem tehniskajiem standartiem par finanšu instrumentu atsauces datu standartiem un formātiem un tehniskiem līdzekļiem saistībā ar Eiropas Vērtspapīru un tirgu iestādes un kompetento iestāžu veicamajiem pasākumiem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pārejas noteikumus ar nosacījumu, ka Likuma 32. panta  jaunā redakcija un šī likuma 104. panta trešā, ceturtā, piektā un sestā daļa stājas spēkā 2030. gada 10. janvāri.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iekļauta arī informatīvā atsauce uz Direktīvu Nr. 2023/2864.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28. martā stājās spēkā likums “Grozījumi Kredītiestāžu un ieguldījumu brokeru sabiedrību darbības atjaunošanas un noregulējuma likumā”. Ar minētajiem grozījumiem tika pārņemta Direktīva Nr. 2024/1174. Ar šiem grozījumiem Likumā ir definēts jēdziens “likvidējamā vienība” un attiecībā uz likvidējamām vienībām noteikts piemērojamais režīms saskaņā ar minimālo pašu kapitāla un atbilstīgo saistību prasību (turpmāk – MREL) regulējumu un iespēju noregulējuma iestādēm konsolidēti noteikt iekšējo MREL.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2024/1174 1. pants paredz veikt grozījumus vairākos Eiropas Parlamenta un Padomes 2014. gada 15. maija direktīvas 2014/59/ES, ar ko izveido kredītiestāžu un ieguldījumu brokeru sabiedrību atveseļošanas un noregulējuma režīmu un groza Padomes direktīvu 82/891/EEK un Eiropas Parlamenta un Padomes direktīvas 2001/24/EK, 2002/47/EK, 2004/25/EK, 2005/56/EK, 2007/36/EK, 2011/35/ES, 2012/30/ES un 2013/36/ES, un Eiropas Parlamenta un Padomes regulas (ES) Nr. 1093/2010 un (ES) Nr. 648/2012 pantos. Pēc atbilstošo tiesību normu notifikācijas saziņā ar Eiropas Komisiju tika secināts, ka nepieciešams tehniski precizēt jau transponētās Direktīvas Nr. 2024/1174 prasības, un veikt atbilstošus grozījumus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tehniski redakcionāli precizējumi to Likuma normu piemērošanai, kurās jau transponētas Direktīvas Nr. 2024/1174 prasības. Proti, Likumprojekta 2. pantā ir iekļauti grozījumi Likuma 61. pantā precizējot: 1)  3.</w:t>
      </w:r>
      <w:r w:rsidR="00000000" w:rsidRPr="00000000" w:rsidDel="00000000">
        <w:rPr>
          <w:vertAlign w:val="superscript"/>
          <w:rtl w:val="0"/>
        </w:rPr>
        <w:t xml:space="preserve">2</w:t>
      </w:r>
      <w:r w:rsidR="00000000" w:rsidRPr="00000000" w:rsidDel="00000000">
        <w:rPr>
          <w:rtl w:val="0"/>
        </w:rPr>
        <w:t xml:space="preserve"> daļas 1. punkta ievaddaļu (lai precizētu tajā ietverto Direktīvas Nr. 2024/1174 1. panta 3. punkta “a” apakšpunktu (Direktīvas Nr. 2014/59/ES 45.f panta 1. punkta ceturtās daļas “a” apakšpunkta “i” apakšpunkta ievaddaļu)); 2) piekto daļu un sestās daļas ievaddaļu (iekļaujot atsauci uz šā panta 3.</w:t>
      </w:r>
      <w:r w:rsidR="00000000" w:rsidRPr="00000000" w:rsidDel="00000000">
        <w:rPr>
          <w:vertAlign w:val="superscript"/>
          <w:rtl w:val="0"/>
        </w:rPr>
        <w:t xml:space="preserve">1 </w:t>
      </w:r>
      <w:r w:rsidR="00000000" w:rsidRPr="00000000" w:rsidDel="00000000">
        <w:rPr>
          <w:rtl w:val="0"/>
        </w:rPr>
        <w:t xml:space="preserve">daļu, lai aptvertu visas sabiedrības, kurām noregulējamās grupas konsolidācijas ietvaros var noteikt minimālo pašu kapitāla un atbilstīgo saistību prasību, kā paredzēts Direktīvas Nr. 2014/59/ES 45.f panta 1. punktā), 3) 6.</w:t>
      </w:r>
      <w:r w:rsidR="00000000" w:rsidRPr="00000000" w:rsidDel="00000000">
        <w:rPr>
          <w:vertAlign w:val="superscript"/>
          <w:rtl w:val="0"/>
        </w:rPr>
        <w:t xml:space="preserve">1</w:t>
      </w:r>
      <w:r w:rsidR="00000000" w:rsidRPr="00000000" w:rsidDel="00000000">
        <w:rPr>
          <w:rtl w:val="0"/>
        </w:rPr>
        <w:t xml:space="preserve"> daļu (lai precizētu tajā ietverto Direktīvas 1. panta 3. punkta “b” apakšpunktu (Direktīvas Nr. 2014/59/ES 45.f panta 2.a punkta ievaddaļu)).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3. pantā iekļauti grozījumi Likuma 64. panta sestajā daļā, ar kuru ir pārņemts Direktīvas Nr. 2024/1174 1. panta 4. punkts (Direktīvas Nr. 2014/59/ES 45.i panta 4. punkta otro, trešo un ceturto teikumu).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likvidējamās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kas ir Likuma subjekti.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Likvidējamā vienība - juridiska persona, kura veic komercdarbību Eiropas Savienībā un attiecībā uz kuru grupas noregulējuma plānā vai – attiecībā uz vienībām, kas neietilpst grupā, – noregulējuma plānā ir paredzēts, ka vienību likvidē saskaņā ar maksātnespējas procesu, vai noregulējamās grupas vienība, kas pati nav noregulējamā vienība un attiecībā uz kuru grupas noregulējuma plānā nav paredzēts īstenot norakstīšanas vai konvertēšanas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grozījumiem Likumā tā subjektiem nerodas papildus pienākumi.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Finanšu konglomerātu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Finanšu konglomerātu likumā" (25-TA-2284).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Akciju atpirkšanas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Akciju atpirkšanas likumā" (25-TA-2326).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Kredītiestāžu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Kredītiestāžu likumā" (25-TA-2447).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Likumprojekts "Grozījumi Ieguldījumu pārvaldes sabiedrību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Ieguldījumu pārvaldes sabiedrību likumā" (25-TA-2538).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Likumprojekts "Grozījumi Apdrošināšanas un pārapdrošināšanas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Apdrošināšanas un pārapdrošināšanas likumā" (25-TA-2547).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Likumprojekts "Grozījumi Segto obligāciju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Segto obligāciju likumā" (25-TA-2563).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Likumprojekts "Grozījumi Apdrošināšanas un pārapdrošināšanas izplatīšanas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Apdrošināšanas un pārapdrošināšanas izplatīšanas likumā" (25-TA-2576).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Likumprojekts "Grozījumi Privāto pensiju fondu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Privāto pensiju fondu likumā" (25-TA-2585).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Likumprojekts "Grozījumi Alternatīvo ieguldījumu fondu un to pārvaldnieku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Alternatīvo ieguldījumu fondu un to pārvaldnieku likumā" (25-TA-2595).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Likumprojekts "Grozījumi Ieguldījumu brokeru sabiedrību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Ieguldījumu brokeru sabiedrību likumā" (25-TA-2604).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Likumprojekts "Grozījumi Finanšu instrumentu tirgus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Nr. 2023/2864 prasības, vienlaicīgi tiek virzīts likumprojekts "Grozījumi Finanšu instrumentu tirgus likumā" (25-TA-2713).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32023L2864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13. decembra Direktīva (ES) 2023/2864, ar ko attiecībā uz Eiropas vienotā piekļuves punkta izveidi un darbību groza konkrētas direktīvas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2022/2864 normas ir jāpārņem līdz 10.01.2026.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13. decembra Direktīva (ES) 2023/2864, ar ko attiecībā uz Eiropas vienotā piekļuves punkta izveidi un darbību groza konkrētas direktīvas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Nr. 2023/2864 11. pantu Direktīvā Nr.  2014/59 iekļautais 128.a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104. panta ceturtā un piektā daļa. Pārejas noteikumu 16.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Nr. 2023/2864 11. pantu Direktīvā Nr. 2014/59 iekļautais 128.a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104.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Nr. 2023/2864 11. pantu Direktīvā Nr. 2014/59 iekļautais 128.a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104. panta ceturtā un sestā daļa. Pārejas noteikumu 16.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Nr. 2023/2864 11. pantu Direktīvā Nr. 2014/59 iekļautais 128.a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104. panta ceturtā un sestā daļa. Pārejas noteikumu 16.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publicēta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publicēta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25-TA-2691</w:t>
    </w:r>
    <w:r>
      <w:br/>
    </w:r>
    <w:r w:rsidR="00000000" w:rsidRPr="00000000" w:rsidDel="00000000">
      <w:rPr>
        <w:rtl w:val="0"/>
      </w:rPr>
      <w:t xml:space="preserve">Izdrukāts 29.07.2026. 23.30 - 1.0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25-TA-2691</w:t>
    </w:r>
    <w:r>
      <w:br/>
    </w:r>
    <w:r w:rsidR="00000000" w:rsidRPr="00000000" w:rsidDel="00000000">
      <w:rPr>
        <w:rtl w:val="0"/>
      </w:rPr>
      <w:t xml:space="preserve">Izdrukāts 29.07.2026. 23.30 - 1.0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anotācija_(ex_ante)_25-TA-2691.docx</dc:title>
</cp:coreProperties>
</file>

<file path=docProps/custom.xml><?xml version="1.0" encoding="utf-8"?>
<Properties xmlns="http://schemas.openxmlformats.org/officeDocument/2006/custom-properties" xmlns:vt="http://schemas.openxmlformats.org/officeDocument/2006/docPropsVTypes"/>
</file>