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(turpmāk - MK noteikumu projekts) izstrādāts, lai nodrošinātu pārizdotās </w:t>
      </w:r>
      <w:r w:rsidR="00000000" w:rsidRPr="00000000" w:rsidDel="00000000">
        <w:rPr>
          <w:i w:val="1"/>
          <w:rtl w:val="0"/>
        </w:rPr>
        <w:t xml:space="preserve">de minimis</w:t>
      </w:r>
      <w:r w:rsidR="00000000" w:rsidRPr="00000000" w:rsidDel="00000000">
        <w:rPr>
          <w:rtl w:val="0"/>
        </w:rPr>
        <w:t xml:space="preserve"> regulas normu pārņemšanu.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pārņemt pārizdotās </w:t>
      </w:r>
      <w:r w:rsidR="00000000" w:rsidRPr="00000000" w:rsidDel="00000000">
        <w:rPr>
          <w:i w:val="1"/>
          <w:rtl w:val="0"/>
        </w:rPr>
        <w:t xml:space="preserve">de minimis</w:t>
      </w:r>
      <w:r w:rsidR="00000000" w:rsidRPr="00000000" w:rsidDel="00000000">
        <w:rPr>
          <w:rtl w:val="0"/>
        </w:rPr>
        <w:t xml:space="preserve"> regulas nosacījumus, kas nodrošinās atbilstošu atbalsta sniegšanu finansējuma saņēmējam.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atbalstam (Eiropas Savienības Oficiālais Vēstnesis, 2023. gada 13. decembris, Nr. L 2023/2831)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9. janvāra sēdē apstiprināja Ministru kabineta noteikumus Nr.32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(turpmāk - Noteikumi Nr. 32), kuros komercdarbības atbalstu finansējuma saņēmējam sniedz atbilstoši Komisijas Regulas Nr. 1407/2013 nosacījumiem. Ar 2024.gada 1.janvāri spēkā stājās jaunā </w:t>
      </w:r>
      <w:r w:rsidR="00000000" w:rsidRPr="00000000" w:rsidDel="00000000">
        <w:rPr>
          <w:i w:val="1"/>
          <w:rtl w:val="0"/>
        </w:rPr>
        <w:t xml:space="preserve">de minimis</w:t>
      </w:r>
      <w:r w:rsidR="00000000" w:rsidRPr="00000000" w:rsidDel="00000000">
        <w:rPr>
          <w:rtl w:val="0"/>
        </w:rPr>
        <w:t xml:space="preserve"> atbalsta piešķiršanas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29.6., 41.2., 45., 48.1., 49.2., 119., 121.1. 129., 131. un 134. punktus, grozot MK noteikumu projektā atsauci uz Komisijas Regulu Nr. 2023/2831,  ņemot vērā, ka  Komisijas Regula Nr. 1407/2013 ar 2023. gada 31. decembri zaudē spēku un ar 2024. gada 1. janvāri stājas spēkā Komisijas Regula Nr. 2023/2831.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w:t>
      </w:r>
      <w:r w:rsidR="00000000" w:rsidRPr="00000000" w:rsidDel="00000000">
        <w:rPr>
          <w:i w:val="1"/>
          <w:rtl w:val="0"/>
        </w:rPr>
        <w:t xml:space="preserve">de minimis</w:t>
      </w:r>
      <w:r w:rsidR="00000000" w:rsidRPr="00000000" w:rsidDel="00000000">
        <w:rPr>
          <w:rtl w:val="0"/>
        </w:rPr>
        <w:t xml:space="preserve"> atbalsta kopsumma finansējuma saņēmējam ir palielinājusies līdz 300 000 EUR, kas radīs ietekmi finansējuma saņēmējiem, nodrošinot iespēju saņemt atbalstu. Atbalstu varēs saņemt arī tie komersanti, kas iepriekš kvalificējās zem Komisijas Regulas Nr. 1407/2013 (atbalsta kopsumma 200 000 EUR), nepārsniedzot trīs gadu periodā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29.6., 41.2. un 49.2. apakšpunkts un 131. un 134.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48.1.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129. un 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"c" un "d" apakšpunkts, 4. punkta "a" apakšpunkts, 4. panta 1.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tehniskus grozījumus, veicot redakcionālus precizējumus, lai pārņemtu pārizdotās de minimis regulas nosacījumus.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w:t>
    </w:r>
    <w:r>
      <w:br/>
    </w:r>
    <w:r w:rsidR="00000000" w:rsidRPr="00000000" w:rsidDel="00000000">
      <w:rPr>
        <w:rtl w:val="0"/>
      </w:rPr>
      <w:t xml:space="preserve">Izdrukāts 29.07.2026. 21.55 - 1.0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w:t>
    </w:r>
    <w:r>
      <w:br/>
    </w:r>
    <w:r w:rsidR="00000000" w:rsidRPr="00000000" w:rsidDel="00000000">
      <w:rPr>
        <w:rtl w:val="0"/>
      </w:rPr>
      <w:t xml:space="preserve">Izdrukāts 29.07.2026. 21.55 - 1.0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anotācija_(ex_ante)_24-TA-131.docx</dc:title>
</cp:coreProperties>
</file>

<file path=docProps/custom.xml><?xml version="1.0" encoding="utf-8"?>
<Properties xmlns="http://schemas.openxmlformats.org/officeDocument/2006/custom-properties" xmlns:vt="http://schemas.openxmlformats.org/officeDocument/2006/docPropsVTypes"/>
</file>